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01C9057A"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w:t>
      </w:r>
      <w:r w:rsidR="00D8574B">
        <w:rPr>
          <w:rFonts w:ascii="Garamond" w:hAnsi="Garamond" w:cs="Times New Roman"/>
          <w:szCs w:val="36"/>
        </w:rPr>
        <w:t xml:space="preserve">Prüfung der Abwicklungsfähigkeit von </w:t>
      </w:r>
      <w:r w:rsidR="00145D00" w:rsidRPr="00145D00">
        <w:rPr>
          <w:rFonts w:ascii="Garamond" w:hAnsi="Garamond" w:cs="Times New Roman"/>
          <w:szCs w:val="36"/>
        </w:rPr>
        <w:t>Unternehmen nach Art. 2 Abs. 1 Bst. a bis d SAG</w:t>
      </w:r>
      <w:r w:rsidR="00254B93">
        <w:rPr>
          <w:rFonts w:ascii="Garamond" w:hAnsi="Garamond" w:cs="Times New Roman"/>
          <w:szCs w:val="36"/>
        </w:rPr>
        <w:t xml:space="preserve"> (Anhang A2)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0ED31CBD" w:rsidR="00DF2E41" w:rsidRPr="00DD5846" w:rsidRDefault="00D8574B" w:rsidP="009F7D17">
      <w:pPr>
        <w:pStyle w:val="Default"/>
        <w:spacing w:before="120"/>
        <w:rPr>
          <w:rFonts w:ascii="Garamond" w:hAnsi="Garamond" w:cs="Arial"/>
          <w:sz w:val="20"/>
          <w:szCs w:val="20"/>
        </w:rPr>
      </w:pPr>
      <w:r>
        <w:rPr>
          <w:rFonts w:ascii="Garamond" w:hAnsi="Garamond" w:cs="Arial"/>
          <w:sz w:val="20"/>
          <w:szCs w:val="20"/>
        </w:rPr>
        <w:t>Dezember</w:t>
      </w:r>
      <w:r w:rsidR="00636495" w:rsidRPr="00B037A6">
        <w:rPr>
          <w:rFonts w:ascii="Garamond" w:hAnsi="Garamond" w:cs="Arial"/>
          <w:sz w:val="20"/>
          <w:szCs w:val="20"/>
        </w:rPr>
        <w:t xml:space="preserve"> 202</w:t>
      </w:r>
      <w:r>
        <w:rPr>
          <w:rFonts w:ascii="Garamond" w:hAnsi="Garamond" w:cs="Arial"/>
          <w:sz w:val="20"/>
          <w:szCs w:val="20"/>
        </w:rPr>
        <w:t>3</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5F2157">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1A15F1ED" w14:textId="3E15FC43" w:rsidR="0058638E" w:rsidRDefault="00326E88">
          <w:pPr>
            <w:pStyle w:val="Verzeichnis1"/>
            <w:rPr>
              <w:rFonts w:asciiTheme="minorHAnsi" w:eastAsiaTheme="minorEastAsia" w:hAnsiTheme="minorHAnsi" w:cstheme="minorBidi"/>
              <w:b w:val="0"/>
              <w:bCs w:val="0"/>
              <w:sz w:val="22"/>
              <w:szCs w:val="22"/>
              <w:lang w:eastAsia="de-CH"/>
            </w:rPr>
          </w:pPr>
          <w:r w:rsidRPr="00DF10D9">
            <w:fldChar w:fldCharType="begin"/>
          </w:r>
          <w:r w:rsidRPr="00DF10D9">
            <w:instrText xml:space="preserve"> TOC \o "2-2" \h \z \t "Überschrift 1;1;Überschrift 3;3;FINMA Gliederung Ebene 1;1;FINMA Gliederung Ebene 2;2;FINMA Gliederung Ebene 3;3" </w:instrText>
          </w:r>
          <w:r w:rsidRPr="00DF10D9">
            <w:fldChar w:fldCharType="separate"/>
          </w:r>
          <w:hyperlink w:anchor="_Toc147141433" w:history="1">
            <w:r w:rsidR="0058638E" w:rsidRPr="00845E0D">
              <w:rPr>
                <w:rStyle w:val="Hyperlink"/>
              </w:rPr>
              <w:t>1.</w:t>
            </w:r>
            <w:r w:rsidR="0058638E">
              <w:rPr>
                <w:rFonts w:asciiTheme="minorHAnsi" w:eastAsiaTheme="minorEastAsia" w:hAnsiTheme="minorHAnsi" w:cstheme="minorBidi"/>
                <w:b w:val="0"/>
                <w:bCs w:val="0"/>
                <w:sz w:val="22"/>
                <w:szCs w:val="22"/>
                <w:lang w:eastAsia="de-CH"/>
              </w:rPr>
              <w:tab/>
            </w:r>
            <w:r w:rsidR="0058638E" w:rsidRPr="00845E0D">
              <w:rPr>
                <w:rStyle w:val="Hyperlink"/>
              </w:rPr>
              <w:t>Rahmenbedingungen der Prüfung</w:t>
            </w:r>
            <w:r w:rsidR="0058638E">
              <w:rPr>
                <w:webHidden/>
              </w:rPr>
              <w:tab/>
            </w:r>
            <w:r w:rsidR="0058638E">
              <w:rPr>
                <w:webHidden/>
              </w:rPr>
              <w:fldChar w:fldCharType="begin"/>
            </w:r>
            <w:r w:rsidR="0058638E">
              <w:rPr>
                <w:webHidden/>
              </w:rPr>
              <w:instrText xml:space="preserve"> PAGEREF _Toc147141433 \h </w:instrText>
            </w:r>
            <w:r w:rsidR="0058638E">
              <w:rPr>
                <w:webHidden/>
              </w:rPr>
            </w:r>
            <w:r w:rsidR="0058638E">
              <w:rPr>
                <w:webHidden/>
              </w:rPr>
              <w:fldChar w:fldCharType="separate"/>
            </w:r>
            <w:r w:rsidR="0058638E">
              <w:rPr>
                <w:webHidden/>
              </w:rPr>
              <w:t>4</w:t>
            </w:r>
            <w:r w:rsidR="0058638E">
              <w:rPr>
                <w:webHidden/>
              </w:rPr>
              <w:fldChar w:fldCharType="end"/>
            </w:r>
          </w:hyperlink>
        </w:p>
        <w:p w14:paraId="56EEC060" w14:textId="3433CC28" w:rsidR="0058638E" w:rsidRDefault="002F41F3">
          <w:pPr>
            <w:pStyle w:val="Verzeichnis1"/>
            <w:rPr>
              <w:rFonts w:asciiTheme="minorHAnsi" w:eastAsiaTheme="minorEastAsia" w:hAnsiTheme="minorHAnsi" w:cstheme="minorBidi"/>
              <w:b w:val="0"/>
              <w:bCs w:val="0"/>
              <w:sz w:val="22"/>
              <w:szCs w:val="22"/>
              <w:lang w:eastAsia="de-CH"/>
            </w:rPr>
          </w:pPr>
          <w:hyperlink w:anchor="_Toc147141434" w:history="1">
            <w:r w:rsidR="0058638E" w:rsidRPr="00845E0D">
              <w:rPr>
                <w:rStyle w:val="Hyperlink"/>
              </w:rPr>
              <w:t>2.</w:t>
            </w:r>
            <w:r w:rsidR="0058638E">
              <w:rPr>
                <w:rFonts w:asciiTheme="minorHAnsi" w:eastAsiaTheme="minorEastAsia" w:hAnsiTheme="minorHAnsi" w:cstheme="minorBidi"/>
                <w:b w:val="0"/>
                <w:bCs w:val="0"/>
                <w:sz w:val="22"/>
                <w:szCs w:val="22"/>
                <w:lang w:eastAsia="de-CH"/>
              </w:rPr>
              <w:tab/>
            </w:r>
            <w:r w:rsidR="0058638E" w:rsidRPr="00845E0D">
              <w:rPr>
                <w:rStyle w:val="Hyperlink"/>
              </w:rPr>
              <w:t>Weitere Mandate des Wirtschaftsprüfers beim geprüften Unternehmen</w:t>
            </w:r>
            <w:r w:rsidR="0058638E">
              <w:rPr>
                <w:webHidden/>
              </w:rPr>
              <w:tab/>
            </w:r>
            <w:r w:rsidR="0058638E">
              <w:rPr>
                <w:webHidden/>
              </w:rPr>
              <w:fldChar w:fldCharType="begin"/>
            </w:r>
            <w:r w:rsidR="0058638E">
              <w:rPr>
                <w:webHidden/>
              </w:rPr>
              <w:instrText xml:space="preserve"> PAGEREF _Toc147141434 \h </w:instrText>
            </w:r>
            <w:r w:rsidR="0058638E">
              <w:rPr>
                <w:webHidden/>
              </w:rPr>
            </w:r>
            <w:r w:rsidR="0058638E">
              <w:rPr>
                <w:webHidden/>
              </w:rPr>
              <w:fldChar w:fldCharType="separate"/>
            </w:r>
            <w:r w:rsidR="0058638E">
              <w:rPr>
                <w:webHidden/>
              </w:rPr>
              <w:t>4</w:t>
            </w:r>
            <w:r w:rsidR="0058638E">
              <w:rPr>
                <w:webHidden/>
              </w:rPr>
              <w:fldChar w:fldCharType="end"/>
            </w:r>
          </w:hyperlink>
        </w:p>
        <w:p w14:paraId="20571452" w14:textId="17D94518" w:rsidR="0058638E" w:rsidRDefault="002F41F3">
          <w:pPr>
            <w:pStyle w:val="Verzeichnis1"/>
            <w:rPr>
              <w:rFonts w:asciiTheme="minorHAnsi" w:eastAsiaTheme="minorEastAsia" w:hAnsiTheme="minorHAnsi" w:cstheme="minorBidi"/>
              <w:b w:val="0"/>
              <w:bCs w:val="0"/>
              <w:sz w:val="22"/>
              <w:szCs w:val="22"/>
              <w:lang w:eastAsia="de-CH"/>
            </w:rPr>
          </w:pPr>
          <w:hyperlink w:anchor="_Toc147141435" w:history="1">
            <w:r w:rsidR="0058638E" w:rsidRPr="00845E0D">
              <w:rPr>
                <w:rStyle w:val="Hyperlink"/>
              </w:rPr>
              <w:t>3.</w:t>
            </w:r>
            <w:r w:rsidR="0058638E">
              <w:rPr>
                <w:rFonts w:asciiTheme="minorHAnsi" w:eastAsiaTheme="minorEastAsia" w:hAnsiTheme="minorHAnsi" w:cstheme="minorBidi"/>
                <w:b w:val="0"/>
                <w:bCs w:val="0"/>
                <w:sz w:val="22"/>
                <w:szCs w:val="22"/>
                <w:lang w:eastAsia="de-CH"/>
              </w:rPr>
              <w:tab/>
            </w:r>
            <w:r w:rsidR="0058638E" w:rsidRPr="00845E0D">
              <w:rPr>
                <w:rStyle w:val="Hyperlink"/>
              </w:rPr>
              <w:t>Zusammenfassung der Prüfresultate</w:t>
            </w:r>
            <w:r w:rsidR="0058638E">
              <w:rPr>
                <w:webHidden/>
              </w:rPr>
              <w:tab/>
            </w:r>
            <w:r w:rsidR="0058638E">
              <w:rPr>
                <w:webHidden/>
              </w:rPr>
              <w:fldChar w:fldCharType="begin"/>
            </w:r>
            <w:r w:rsidR="0058638E">
              <w:rPr>
                <w:webHidden/>
              </w:rPr>
              <w:instrText xml:space="preserve"> PAGEREF _Toc147141435 \h </w:instrText>
            </w:r>
            <w:r w:rsidR="0058638E">
              <w:rPr>
                <w:webHidden/>
              </w:rPr>
            </w:r>
            <w:r w:rsidR="0058638E">
              <w:rPr>
                <w:webHidden/>
              </w:rPr>
              <w:fldChar w:fldCharType="separate"/>
            </w:r>
            <w:r w:rsidR="0058638E">
              <w:rPr>
                <w:webHidden/>
              </w:rPr>
              <w:t>4</w:t>
            </w:r>
            <w:r w:rsidR="0058638E">
              <w:rPr>
                <w:webHidden/>
              </w:rPr>
              <w:fldChar w:fldCharType="end"/>
            </w:r>
          </w:hyperlink>
        </w:p>
        <w:p w14:paraId="47B3416A" w14:textId="19524B72" w:rsidR="0058638E" w:rsidRDefault="002F41F3">
          <w:pPr>
            <w:pStyle w:val="Verzeichnis2"/>
            <w:rPr>
              <w:rFonts w:asciiTheme="minorHAnsi" w:eastAsiaTheme="minorEastAsia" w:hAnsiTheme="minorHAnsi" w:cstheme="minorBidi"/>
              <w:noProof/>
              <w:sz w:val="22"/>
              <w:szCs w:val="22"/>
              <w:lang w:eastAsia="de-CH"/>
            </w:rPr>
          </w:pPr>
          <w:hyperlink w:anchor="_Toc147141436" w:history="1">
            <w:r w:rsidR="0058638E" w:rsidRPr="00845E0D">
              <w:rPr>
                <w:rStyle w:val="Hyperlink"/>
                <w:noProof/>
              </w:rPr>
              <w:t>3.1</w:t>
            </w:r>
            <w:r w:rsidR="0058638E">
              <w:rPr>
                <w:rFonts w:asciiTheme="minorHAnsi" w:eastAsiaTheme="minorEastAsia" w:hAnsiTheme="minorHAnsi" w:cstheme="minorBidi"/>
                <w:noProof/>
                <w:sz w:val="22"/>
                <w:szCs w:val="22"/>
                <w:lang w:eastAsia="de-CH"/>
              </w:rPr>
              <w:tab/>
            </w:r>
            <w:r w:rsidR="0058638E" w:rsidRPr="00845E0D">
              <w:rPr>
                <w:rStyle w:val="Hyperlink"/>
                <w:noProof/>
              </w:rPr>
              <w:t>Beanstandungen</w:t>
            </w:r>
            <w:r w:rsidR="0058638E">
              <w:rPr>
                <w:noProof/>
                <w:webHidden/>
              </w:rPr>
              <w:tab/>
            </w:r>
            <w:r w:rsidR="0058638E">
              <w:rPr>
                <w:noProof/>
                <w:webHidden/>
              </w:rPr>
              <w:fldChar w:fldCharType="begin"/>
            </w:r>
            <w:r w:rsidR="0058638E">
              <w:rPr>
                <w:noProof/>
                <w:webHidden/>
              </w:rPr>
              <w:instrText xml:space="preserve"> PAGEREF _Toc147141436 \h </w:instrText>
            </w:r>
            <w:r w:rsidR="0058638E">
              <w:rPr>
                <w:noProof/>
                <w:webHidden/>
              </w:rPr>
            </w:r>
            <w:r w:rsidR="0058638E">
              <w:rPr>
                <w:noProof/>
                <w:webHidden/>
              </w:rPr>
              <w:fldChar w:fldCharType="separate"/>
            </w:r>
            <w:r w:rsidR="0058638E">
              <w:rPr>
                <w:noProof/>
                <w:webHidden/>
              </w:rPr>
              <w:t>4</w:t>
            </w:r>
            <w:r w:rsidR="0058638E">
              <w:rPr>
                <w:noProof/>
                <w:webHidden/>
              </w:rPr>
              <w:fldChar w:fldCharType="end"/>
            </w:r>
          </w:hyperlink>
        </w:p>
        <w:p w14:paraId="42E15F1E" w14:textId="692B2ADA" w:rsidR="0058638E" w:rsidRDefault="002F41F3">
          <w:pPr>
            <w:pStyle w:val="Verzeichnis2"/>
            <w:rPr>
              <w:rFonts w:asciiTheme="minorHAnsi" w:eastAsiaTheme="minorEastAsia" w:hAnsiTheme="minorHAnsi" w:cstheme="minorBidi"/>
              <w:noProof/>
              <w:sz w:val="22"/>
              <w:szCs w:val="22"/>
              <w:lang w:eastAsia="de-CH"/>
            </w:rPr>
          </w:pPr>
          <w:hyperlink w:anchor="_Toc147141437" w:history="1">
            <w:r w:rsidR="0058638E" w:rsidRPr="00845E0D">
              <w:rPr>
                <w:rStyle w:val="Hyperlink"/>
                <w:noProof/>
              </w:rPr>
              <w:t>3.2</w:t>
            </w:r>
            <w:r w:rsidR="0058638E">
              <w:rPr>
                <w:rFonts w:asciiTheme="minorHAnsi" w:eastAsiaTheme="minorEastAsia" w:hAnsiTheme="minorHAnsi" w:cstheme="minorBidi"/>
                <w:noProof/>
                <w:sz w:val="22"/>
                <w:szCs w:val="22"/>
                <w:lang w:eastAsia="de-CH"/>
              </w:rPr>
              <w:tab/>
            </w:r>
            <w:r w:rsidR="0058638E" w:rsidRPr="00845E0D">
              <w:rPr>
                <w:rStyle w:val="Hyperlink"/>
                <w:noProof/>
              </w:rPr>
              <w:t>Empfehlungen</w:t>
            </w:r>
            <w:r w:rsidR="0058638E">
              <w:rPr>
                <w:noProof/>
                <w:webHidden/>
              </w:rPr>
              <w:tab/>
            </w:r>
            <w:r w:rsidR="0058638E">
              <w:rPr>
                <w:noProof/>
                <w:webHidden/>
              </w:rPr>
              <w:fldChar w:fldCharType="begin"/>
            </w:r>
            <w:r w:rsidR="0058638E">
              <w:rPr>
                <w:noProof/>
                <w:webHidden/>
              </w:rPr>
              <w:instrText xml:space="preserve"> PAGEREF _Toc147141437 \h </w:instrText>
            </w:r>
            <w:r w:rsidR="0058638E">
              <w:rPr>
                <w:noProof/>
                <w:webHidden/>
              </w:rPr>
            </w:r>
            <w:r w:rsidR="0058638E">
              <w:rPr>
                <w:noProof/>
                <w:webHidden/>
              </w:rPr>
              <w:fldChar w:fldCharType="separate"/>
            </w:r>
            <w:r w:rsidR="0058638E">
              <w:rPr>
                <w:noProof/>
                <w:webHidden/>
              </w:rPr>
              <w:t>4</w:t>
            </w:r>
            <w:r w:rsidR="0058638E">
              <w:rPr>
                <w:noProof/>
                <w:webHidden/>
              </w:rPr>
              <w:fldChar w:fldCharType="end"/>
            </w:r>
          </w:hyperlink>
        </w:p>
        <w:p w14:paraId="5B0AD30B" w14:textId="522823BF" w:rsidR="0058638E" w:rsidRDefault="002F41F3">
          <w:pPr>
            <w:pStyle w:val="Verzeichnis2"/>
            <w:rPr>
              <w:rFonts w:asciiTheme="minorHAnsi" w:eastAsiaTheme="minorEastAsia" w:hAnsiTheme="minorHAnsi" w:cstheme="minorBidi"/>
              <w:noProof/>
              <w:sz w:val="22"/>
              <w:szCs w:val="22"/>
              <w:lang w:eastAsia="de-CH"/>
            </w:rPr>
          </w:pPr>
          <w:hyperlink w:anchor="_Toc147141438" w:history="1">
            <w:r w:rsidR="0058638E" w:rsidRPr="00845E0D">
              <w:rPr>
                <w:rStyle w:val="Hyperlink"/>
                <w:noProof/>
              </w:rPr>
              <w:t>3.3</w:t>
            </w:r>
            <w:r w:rsidR="0058638E">
              <w:rPr>
                <w:rFonts w:asciiTheme="minorHAnsi" w:eastAsiaTheme="minorEastAsia" w:hAnsiTheme="minorHAnsi" w:cstheme="minorBidi"/>
                <w:noProof/>
                <w:sz w:val="22"/>
                <w:szCs w:val="22"/>
                <w:lang w:eastAsia="de-CH"/>
              </w:rPr>
              <w:tab/>
            </w:r>
            <w:r w:rsidR="0058638E" w:rsidRPr="00845E0D">
              <w:rPr>
                <w:rStyle w:val="Hyperlink"/>
                <w:noProof/>
              </w:rPr>
              <w:t>Beanstandungen des Vorjahres</w:t>
            </w:r>
            <w:r w:rsidR="0058638E">
              <w:rPr>
                <w:noProof/>
                <w:webHidden/>
              </w:rPr>
              <w:tab/>
            </w:r>
            <w:r w:rsidR="0058638E">
              <w:rPr>
                <w:noProof/>
                <w:webHidden/>
              </w:rPr>
              <w:fldChar w:fldCharType="begin"/>
            </w:r>
            <w:r w:rsidR="0058638E">
              <w:rPr>
                <w:noProof/>
                <w:webHidden/>
              </w:rPr>
              <w:instrText xml:space="preserve"> PAGEREF _Toc147141438 \h </w:instrText>
            </w:r>
            <w:r w:rsidR="0058638E">
              <w:rPr>
                <w:noProof/>
                <w:webHidden/>
              </w:rPr>
            </w:r>
            <w:r w:rsidR="0058638E">
              <w:rPr>
                <w:noProof/>
                <w:webHidden/>
              </w:rPr>
              <w:fldChar w:fldCharType="separate"/>
            </w:r>
            <w:r w:rsidR="0058638E">
              <w:rPr>
                <w:noProof/>
                <w:webHidden/>
              </w:rPr>
              <w:t>5</w:t>
            </w:r>
            <w:r w:rsidR="0058638E">
              <w:rPr>
                <w:noProof/>
                <w:webHidden/>
              </w:rPr>
              <w:fldChar w:fldCharType="end"/>
            </w:r>
          </w:hyperlink>
        </w:p>
        <w:p w14:paraId="494F4255" w14:textId="467F62C2" w:rsidR="0058638E" w:rsidRDefault="002F41F3">
          <w:pPr>
            <w:pStyle w:val="Verzeichnis2"/>
            <w:rPr>
              <w:rFonts w:asciiTheme="minorHAnsi" w:eastAsiaTheme="minorEastAsia" w:hAnsiTheme="minorHAnsi" w:cstheme="minorBidi"/>
              <w:noProof/>
              <w:sz w:val="22"/>
              <w:szCs w:val="22"/>
              <w:lang w:eastAsia="de-CH"/>
            </w:rPr>
          </w:pPr>
          <w:hyperlink w:anchor="_Toc147141439" w:history="1">
            <w:r w:rsidR="0058638E" w:rsidRPr="00845E0D">
              <w:rPr>
                <w:rStyle w:val="Hyperlink"/>
                <w:noProof/>
              </w:rPr>
              <w:t>3.4</w:t>
            </w:r>
            <w:r w:rsidR="0058638E">
              <w:rPr>
                <w:rFonts w:asciiTheme="minorHAnsi" w:eastAsiaTheme="minorEastAsia" w:hAnsiTheme="minorHAnsi" w:cstheme="minorBidi"/>
                <w:noProof/>
                <w:sz w:val="22"/>
                <w:szCs w:val="22"/>
                <w:lang w:eastAsia="de-CH"/>
              </w:rPr>
              <w:tab/>
            </w:r>
            <w:r w:rsidR="0058638E" w:rsidRPr="00845E0D">
              <w:rPr>
                <w:rStyle w:val="Hyperlink"/>
                <w:noProof/>
              </w:rPr>
              <w:t>Empfehlungen des Vorjahres</w:t>
            </w:r>
            <w:r w:rsidR="0058638E">
              <w:rPr>
                <w:noProof/>
                <w:webHidden/>
              </w:rPr>
              <w:tab/>
            </w:r>
            <w:r w:rsidR="0058638E">
              <w:rPr>
                <w:noProof/>
                <w:webHidden/>
              </w:rPr>
              <w:fldChar w:fldCharType="begin"/>
            </w:r>
            <w:r w:rsidR="0058638E">
              <w:rPr>
                <w:noProof/>
                <w:webHidden/>
              </w:rPr>
              <w:instrText xml:space="preserve"> PAGEREF _Toc147141439 \h </w:instrText>
            </w:r>
            <w:r w:rsidR="0058638E">
              <w:rPr>
                <w:noProof/>
                <w:webHidden/>
              </w:rPr>
            </w:r>
            <w:r w:rsidR="0058638E">
              <w:rPr>
                <w:noProof/>
                <w:webHidden/>
              </w:rPr>
              <w:fldChar w:fldCharType="separate"/>
            </w:r>
            <w:r w:rsidR="0058638E">
              <w:rPr>
                <w:noProof/>
                <w:webHidden/>
              </w:rPr>
              <w:t>5</w:t>
            </w:r>
            <w:r w:rsidR="0058638E">
              <w:rPr>
                <w:noProof/>
                <w:webHidden/>
              </w:rPr>
              <w:fldChar w:fldCharType="end"/>
            </w:r>
          </w:hyperlink>
        </w:p>
        <w:p w14:paraId="00B0A1F5" w14:textId="5EEA1CA7" w:rsidR="0058638E" w:rsidRDefault="002F41F3">
          <w:pPr>
            <w:pStyle w:val="Verzeichnis2"/>
            <w:rPr>
              <w:rFonts w:asciiTheme="minorHAnsi" w:eastAsiaTheme="minorEastAsia" w:hAnsiTheme="minorHAnsi" w:cstheme="minorBidi"/>
              <w:noProof/>
              <w:sz w:val="22"/>
              <w:szCs w:val="22"/>
              <w:lang w:eastAsia="de-CH"/>
            </w:rPr>
          </w:pPr>
          <w:hyperlink w:anchor="_Toc147141440" w:history="1">
            <w:r w:rsidR="0058638E" w:rsidRPr="00845E0D">
              <w:rPr>
                <w:rStyle w:val="Hyperlink"/>
                <w:noProof/>
              </w:rPr>
              <w:t>3.5</w:t>
            </w:r>
            <w:r w:rsidR="0058638E">
              <w:rPr>
                <w:rFonts w:asciiTheme="minorHAnsi" w:eastAsiaTheme="minorEastAsia" w:hAnsiTheme="minorHAnsi" w:cstheme="minorBidi"/>
                <w:noProof/>
                <w:sz w:val="22"/>
                <w:szCs w:val="22"/>
                <w:lang w:eastAsia="de-CH"/>
              </w:rPr>
              <w:tab/>
            </w:r>
            <w:r w:rsidR="0058638E" w:rsidRPr="00845E0D">
              <w:rPr>
                <w:rStyle w:val="Hyperlink"/>
                <w:noProof/>
              </w:rPr>
              <w:t>Bestätigung zu Vorgaben der FMA (Abwicklungsfähigkeit)</w:t>
            </w:r>
            <w:r w:rsidR="0058638E">
              <w:rPr>
                <w:noProof/>
                <w:webHidden/>
              </w:rPr>
              <w:tab/>
            </w:r>
            <w:r w:rsidR="0058638E">
              <w:rPr>
                <w:noProof/>
                <w:webHidden/>
              </w:rPr>
              <w:fldChar w:fldCharType="begin"/>
            </w:r>
            <w:r w:rsidR="0058638E">
              <w:rPr>
                <w:noProof/>
                <w:webHidden/>
              </w:rPr>
              <w:instrText xml:space="preserve"> PAGEREF _Toc147141440 \h </w:instrText>
            </w:r>
            <w:r w:rsidR="0058638E">
              <w:rPr>
                <w:noProof/>
                <w:webHidden/>
              </w:rPr>
            </w:r>
            <w:r w:rsidR="0058638E">
              <w:rPr>
                <w:noProof/>
                <w:webHidden/>
              </w:rPr>
              <w:fldChar w:fldCharType="separate"/>
            </w:r>
            <w:r w:rsidR="0058638E">
              <w:rPr>
                <w:noProof/>
                <w:webHidden/>
              </w:rPr>
              <w:t>5</w:t>
            </w:r>
            <w:r w:rsidR="0058638E">
              <w:rPr>
                <w:noProof/>
                <w:webHidden/>
              </w:rPr>
              <w:fldChar w:fldCharType="end"/>
            </w:r>
          </w:hyperlink>
        </w:p>
        <w:p w14:paraId="1341D6C6" w14:textId="59A00370" w:rsidR="0058638E" w:rsidRDefault="002F41F3">
          <w:pPr>
            <w:pStyle w:val="Verzeichnis2"/>
            <w:rPr>
              <w:rFonts w:asciiTheme="minorHAnsi" w:eastAsiaTheme="minorEastAsia" w:hAnsiTheme="minorHAnsi" w:cstheme="minorBidi"/>
              <w:noProof/>
              <w:sz w:val="22"/>
              <w:szCs w:val="22"/>
              <w:lang w:eastAsia="de-CH"/>
            </w:rPr>
          </w:pPr>
          <w:hyperlink w:anchor="_Toc147141441" w:history="1">
            <w:r w:rsidR="0058638E" w:rsidRPr="00845E0D">
              <w:rPr>
                <w:rStyle w:val="Hyperlink"/>
                <w:noProof/>
              </w:rPr>
              <w:t>3.6</w:t>
            </w:r>
            <w:r w:rsidR="0058638E">
              <w:rPr>
                <w:rFonts w:asciiTheme="minorHAnsi" w:eastAsiaTheme="minorEastAsia" w:hAnsiTheme="minorHAnsi" w:cstheme="minorBidi"/>
                <w:noProof/>
                <w:sz w:val="22"/>
                <w:szCs w:val="22"/>
                <w:lang w:eastAsia="de-CH"/>
              </w:rPr>
              <w:tab/>
            </w:r>
            <w:r w:rsidR="0058638E" w:rsidRPr="00845E0D">
              <w:rPr>
                <w:rStyle w:val="Hyperlink"/>
                <w:noProof/>
              </w:rPr>
              <w:t>Wesentliche Feststellungen der Internen Revision (Abwicklungsfähigkeit)</w:t>
            </w:r>
            <w:r w:rsidR="0058638E">
              <w:rPr>
                <w:noProof/>
                <w:webHidden/>
              </w:rPr>
              <w:tab/>
            </w:r>
            <w:r w:rsidR="0058638E">
              <w:rPr>
                <w:noProof/>
                <w:webHidden/>
              </w:rPr>
              <w:fldChar w:fldCharType="begin"/>
            </w:r>
            <w:r w:rsidR="0058638E">
              <w:rPr>
                <w:noProof/>
                <w:webHidden/>
              </w:rPr>
              <w:instrText xml:space="preserve"> PAGEREF _Toc147141441 \h </w:instrText>
            </w:r>
            <w:r w:rsidR="0058638E">
              <w:rPr>
                <w:noProof/>
                <w:webHidden/>
              </w:rPr>
            </w:r>
            <w:r w:rsidR="0058638E">
              <w:rPr>
                <w:noProof/>
                <w:webHidden/>
              </w:rPr>
              <w:fldChar w:fldCharType="separate"/>
            </w:r>
            <w:r w:rsidR="0058638E">
              <w:rPr>
                <w:noProof/>
                <w:webHidden/>
              </w:rPr>
              <w:t>5</w:t>
            </w:r>
            <w:r w:rsidR="0058638E">
              <w:rPr>
                <w:noProof/>
                <w:webHidden/>
              </w:rPr>
              <w:fldChar w:fldCharType="end"/>
            </w:r>
          </w:hyperlink>
        </w:p>
        <w:p w14:paraId="5FD92832" w14:textId="361D799D" w:rsidR="0058638E" w:rsidRDefault="002F41F3">
          <w:pPr>
            <w:pStyle w:val="Verzeichnis2"/>
            <w:rPr>
              <w:rFonts w:asciiTheme="minorHAnsi" w:eastAsiaTheme="minorEastAsia" w:hAnsiTheme="minorHAnsi" w:cstheme="minorBidi"/>
              <w:noProof/>
              <w:sz w:val="22"/>
              <w:szCs w:val="22"/>
              <w:lang w:eastAsia="de-CH"/>
            </w:rPr>
          </w:pPr>
          <w:hyperlink w:anchor="_Toc147141442" w:history="1">
            <w:r w:rsidR="0058638E" w:rsidRPr="00845E0D">
              <w:rPr>
                <w:rStyle w:val="Hyperlink"/>
                <w:noProof/>
              </w:rPr>
              <w:t>3.7</w:t>
            </w:r>
            <w:r w:rsidR="0058638E">
              <w:rPr>
                <w:rFonts w:asciiTheme="minorHAnsi" w:eastAsiaTheme="minorEastAsia" w:hAnsiTheme="minorHAnsi" w:cstheme="minorBidi"/>
                <w:noProof/>
                <w:sz w:val="22"/>
                <w:szCs w:val="22"/>
                <w:lang w:eastAsia="de-CH"/>
              </w:rPr>
              <w:tab/>
            </w:r>
            <w:r w:rsidR="0058638E" w:rsidRPr="00845E0D">
              <w:rPr>
                <w:rStyle w:val="Hyperlink"/>
                <w:noProof/>
              </w:rPr>
              <w:t>Wesentliche Feststellungen durch Dritte (Abwicklungsfähigkeit)</w:t>
            </w:r>
            <w:r w:rsidR="0058638E">
              <w:rPr>
                <w:noProof/>
                <w:webHidden/>
              </w:rPr>
              <w:tab/>
            </w:r>
            <w:r w:rsidR="0058638E">
              <w:rPr>
                <w:noProof/>
                <w:webHidden/>
              </w:rPr>
              <w:fldChar w:fldCharType="begin"/>
            </w:r>
            <w:r w:rsidR="0058638E">
              <w:rPr>
                <w:noProof/>
                <w:webHidden/>
              </w:rPr>
              <w:instrText xml:space="preserve"> PAGEREF _Toc147141442 \h </w:instrText>
            </w:r>
            <w:r w:rsidR="0058638E">
              <w:rPr>
                <w:noProof/>
                <w:webHidden/>
              </w:rPr>
            </w:r>
            <w:r w:rsidR="0058638E">
              <w:rPr>
                <w:noProof/>
                <w:webHidden/>
              </w:rPr>
              <w:fldChar w:fldCharType="separate"/>
            </w:r>
            <w:r w:rsidR="0058638E">
              <w:rPr>
                <w:noProof/>
                <w:webHidden/>
              </w:rPr>
              <w:t>5</w:t>
            </w:r>
            <w:r w:rsidR="0058638E">
              <w:rPr>
                <w:noProof/>
                <w:webHidden/>
              </w:rPr>
              <w:fldChar w:fldCharType="end"/>
            </w:r>
          </w:hyperlink>
        </w:p>
        <w:p w14:paraId="28E7E955" w14:textId="6731B24A" w:rsidR="0058638E" w:rsidRDefault="002F41F3">
          <w:pPr>
            <w:pStyle w:val="Verzeichnis2"/>
            <w:rPr>
              <w:rFonts w:asciiTheme="minorHAnsi" w:eastAsiaTheme="minorEastAsia" w:hAnsiTheme="minorHAnsi" w:cstheme="minorBidi"/>
              <w:noProof/>
              <w:sz w:val="22"/>
              <w:szCs w:val="22"/>
              <w:lang w:eastAsia="de-CH"/>
            </w:rPr>
          </w:pPr>
          <w:hyperlink w:anchor="_Toc147141443" w:history="1">
            <w:r w:rsidR="0058638E" w:rsidRPr="00845E0D">
              <w:rPr>
                <w:rStyle w:val="Hyperlink"/>
                <w:noProof/>
              </w:rPr>
              <w:t>3.8</w:t>
            </w:r>
            <w:r w:rsidR="0058638E">
              <w:rPr>
                <w:rFonts w:asciiTheme="minorHAnsi" w:eastAsiaTheme="minorEastAsia" w:hAnsiTheme="minorHAnsi" w:cstheme="minorBidi"/>
                <w:noProof/>
                <w:sz w:val="22"/>
                <w:szCs w:val="22"/>
                <w:lang w:eastAsia="de-CH"/>
              </w:rPr>
              <w:tab/>
            </w:r>
            <w:r w:rsidR="0058638E" w:rsidRPr="00845E0D">
              <w:rPr>
                <w:rStyle w:val="Hyperlink"/>
                <w:noProof/>
              </w:rPr>
              <w:t>Zusammenfassung zu Prüferkenntnissen sowie Gesamteinschätzung</w:t>
            </w:r>
            <w:r w:rsidR="0058638E">
              <w:rPr>
                <w:noProof/>
                <w:webHidden/>
              </w:rPr>
              <w:tab/>
            </w:r>
            <w:r w:rsidR="0058638E">
              <w:rPr>
                <w:noProof/>
                <w:webHidden/>
              </w:rPr>
              <w:fldChar w:fldCharType="begin"/>
            </w:r>
            <w:r w:rsidR="0058638E">
              <w:rPr>
                <w:noProof/>
                <w:webHidden/>
              </w:rPr>
              <w:instrText xml:space="preserve"> PAGEREF _Toc147141443 \h </w:instrText>
            </w:r>
            <w:r w:rsidR="0058638E">
              <w:rPr>
                <w:noProof/>
                <w:webHidden/>
              </w:rPr>
            </w:r>
            <w:r w:rsidR="0058638E">
              <w:rPr>
                <w:noProof/>
                <w:webHidden/>
              </w:rPr>
              <w:fldChar w:fldCharType="separate"/>
            </w:r>
            <w:r w:rsidR="0058638E">
              <w:rPr>
                <w:noProof/>
                <w:webHidden/>
              </w:rPr>
              <w:t>5</w:t>
            </w:r>
            <w:r w:rsidR="0058638E">
              <w:rPr>
                <w:noProof/>
                <w:webHidden/>
              </w:rPr>
              <w:fldChar w:fldCharType="end"/>
            </w:r>
          </w:hyperlink>
        </w:p>
        <w:p w14:paraId="63EF37E5" w14:textId="046BDB93" w:rsidR="0058638E" w:rsidRDefault="002F41F3">
          <w:pPr>
            <w:pStyle w:val="Verzeichnis1"/>
            <w:rPr>
              <w:rFonts w:asciiTheme="minorHAnsi" w:eastAsiaTheme="minorEastAsia" w:hAnsiTheme="minorHAnsi" w:cstheme="minorBidi"/>
              <w:b w:val="0"/>
              <w:bCs w:val="0"/>
              <w:sz w:val="22"/>
              <w:szCs w:val="22"/>
              <w:lang w:eastAsia="de-CH"/>
            </w:rPr>
          </w:pPr>
          <w:hyperlink w:anchor="_Toc147141444" w:history="1">
            <w:r w:rsidR="0058638E" w:rsidRPr="00845E0D">
              <w:rPr>
                <w:rStyle w:val="Hyperlink"/>
              </w:rPr>
              <w:t>4.</w:t>
            </w:r>
            <w:r w:rsidR="0058638E">
              <w:rPr>
                <w:rFonts w:asciiTheme="minorHAnsi" w:eastAsiaTheme="minorEastAsia" w:hAnsiTheme="minorHAnsi" w:cstheme="minorBidi"/>
                <w:b w:val="0"/>
                <w:bCs w:val="0"/>
                <w:sz w:val="22"/>
                <w:szCs w:val="22"/>
                <w:lang w:eastAsia="de-CH"/>
              </w:rPr>
              <w:tab/>
            </w:r>
            <w:r w:rsidR="0058638E" w:rsidRPr="00845E0D">
              <w:rPr>
                <w:rStyle w:val="Hyperlink"/>
              </w:rPr>
              <w:t>Prüfresultate</w:t>
            </w:r>
            <w:r w:rsidR="0058638E">
              <w:rPr>
                <w:webHidden/>
              </w:rPr>
              <w:tab/>
            </w:r>
            <w:r w:rsidR="0058638E">
              <w:rPr>
                <w:webHidden/>
              </w:rPr>
              <w:fldChar w:fldCharType="begin"/>
            </w:r>
            <w:r w:rsidR="0058638E">
              <w:rPr>
                <w:webHidden/>
              </w:rPr>
              <w:instrText xml:space="preserve"> PAGEREF _Toc147141444 \h </w:instrText>
            </w:r>
            <w:r w:rsidR="0058638E">
              <w:rPr>
                <w:webHidden/>
              </w:rPr>
            </w:r>
            <w:r w:rsidR="0058638E">
              <w:rPr>
                <w:webHidden/>
              </w:rPr>
              <w:fldChar w:fldCharType="separate"/>
            </w:r>
            <w:r w:rsidR="0058638E">
              <w:rPr>
                <w:webHidden/>
              </w:rPr>
              <w:t>6</w:t>
            </w:r>
            <w:r w:rsidR="0058638E">
              <w:rPr>
                <w:webHidden/>
              </w:rPr>
              <w:fldChar w:fldCharType="end"/>
            </w:r>
          </w:hyperlink>
        </w:p>
        <w:p w14:paraId="6B403A1C" w14:textId="06825682" w:rsidR="0058638E" w:rsidRDefault="002F41F3">
          <w:pPr>
            <w:pStyle w:val="Verzeichnis1"/>
            <w:rPr>
              <w:rFonts w:asciiTheme="minorHAnsi" w:eastAsiaTheme="minorEastAsia" w:hAnsiTheme="minorHAnsi" w:cstheme="minorBidi"/>
              <w:b w:val="0"/>
              <w:bCs w:val="0"/>
              <w:sz w:val="22"/>
              <w:szCs w:val="22"/>
              <w:lang w:eastAsia="de-CH"/>
            </w:rPr>
          </w:pPr>
          <w:hyperlink w:anchor="_Toc147141445" w:history="1">
            <w:r w:rsidR="0058638E" w:rsidRPr="00845E0D">
              <w:rPr>
                <w:rStyle w:val="Hyperlink"/>
              </w:rPr>
              <w:t>5.</w:t>
            </w:r>
            <w:r w:rsidR="0058638E">
              <w:rPr>
                <w:rFonts w:asciiTheme="minorHAnsi" w:eastAsiaTheme="minorEastAsia" w:hAnsiTheme="minorHAnsi" w:cstheme="minorBidi"/>
                <w:b w:val="0"/>
                <w:bCs w:val="0"/>
                <w:sz w:val="22"/>
                <w:szCs w:val="22"/>
                <w:lang w:eastAsia="de-CH"/>
              </w:rPr>
              <w:tab/>
            </w:r>
            <w:r w:rsidR="0058638E" w:rsidRPr="00845E0D">
              <w:rPr>
                <w:rStyle w:val="Hyperlink"/>
              </w:rPr>
              <w:t>Allgemeiner Teil</w:t>
            </w:r>
            <w:r w:rsidR="0058638E">
              <w:rPr>
                <w:webHidden/>
              </w:rPr>
              <w:tab/>
            </w:r>
            <w:r w:rsidR="0058638E">
              <w:rPr>
                <w:webHidden/>
              </w:rPr>
              <w:fldChar w:fldCharType="begin"/>
            </w:r>
            <w:r w:rsidR="0058638E">
              <w:rPr>
                <w:webHidden/>
              </w:rPr>
              <w:instrText xml:space="preserve"> PAGEREF _Toc147141445 \h </w:instrText>
            </w:r>
            <w:r w:rsidR="0058638E">
              <w:rPr>
                <w:webHidden/>
              </w:rPr>
            </w:r>
            <w:r w:rsidR="0058638E">
              <w:rPr>
                <w:webHidden/>
              </w:rPr>
              <w:fldChar w:fldCharType="separate"/>
            </w:r>
            <w:r w:rsidR="0058638E">
              <w:rPr>
                <w:webHidden/>
              </w:rPr>
              <w:t>8</w:t>
            </w:r>
            <w:r w:rsidR="0058638E">
              <w:rPr>
                <w:webHidden/>
              </w:rPr>
              <w:fldChar w:fldCharType="end"/>
            </w:r>
          </w:hyperlink>
        </w:p>
        <w:p w14:paraId="1A022FEC" w14:textId="72E73518" w:rsidR="0058638E" w:rsidRDefault="002F41F3">
          <w:pPr>
            <w:pStyle w:val="Verzeichnis2"/>
            <w:rPr>
              <w:rFonts w:asciiTheme="minorHAnsi" w:eastAsiaTheme="minorEastAsia" w:hAnsiTheme="minorHAnsi" w:cstheme="minorBidi"/>
              <w:noProof/>
              <w:sz w:val="22"/>
              <w:szCs w:val="22"/>
              <w:lang w:eastAsia="de-CH"/>
            </w:rPr>
          </w:pPr>
          <w:hyperlink w:anchor="_Toc147141446" w:history="1">
            <w:r w:rsidR="0058638E" w:rsidRPr="00845E0D">
              <w:rPr>
                <w:rStyle w:val="Hyperlink"/>
                <w:noProof/>
              </w:rPr>
              <w:t>5.1</w:t>
            </w:r>
            <w:r w:rsidR="0058638E">
              <w:rPr>
                <w:rFonts w:asciiTheme="minorHAnsi" w:eastAsiaTheme="minorEastAsia" w:hAnsiTheme="minorHAnsi" w:cstheme="minorBidi"/>
                <w:noProof/>
                <w:sz w:val="22"/>
                <w:szCs w:val="22"/>
                <w:lang w:eastAsia="de-CH"/>
              </w:rPr>
              <w:tab/>
            </w:r>
            <w:r w:rsidR="0058638E" w:rsidRPr="00845E0D">
              <w:rPr>
                <w:rStyle w:val="Hyperlink"/>
                <w:noProof/>
              </w:rPr>
              <w:t>Ausfall- und Liquidationsperspektive</w:t>
            </w:r>
            <w:r w:rsidR="0058638E">
              <w:rPr>
                <w:noProof/>
                <w:webHidden/>
              </w:rPr>
              <w:tab/>
            </w:r>
            <w:r w:rsidR="0058638E">
              <w:rPr>
                <w:noProof/>
                <w:webHidden/>
              </w:rPr>
              <w:fldChar w:fldCharType="begin"/>
            </w:r>
            <w:r w:rsidR="0058638E">
              <w:rPr>
                <w:noProof/>
                <w:webHidden/>
              </w:rPr>
              <w:instrText xml:space="preserve"> PAGEREF _Toc147141446 \h </w:instrText>
            </w:r>
            <w:r w:rsidR="0058638E">
              <w:rPr>
                <w:noProof/>
                <w:webHidden/>
              </w:rPr>
            </w:r>
            <w:r w:rsidR="0058638E">
              <w:rPr>
                <w:noProof/>
                <w:webHidden/>
              </w:rPr>
              <w:fldChar w:fldCharType="separate"/>
            </w:r>
            <w:r w:rsidR="0058638E">
              <w:rPr>
                <w:noProof/>
                <w:webHidden/>
              </w:rPr>
              <w:t>8</w:t>
            </w:r>
            <w:r w:rsidR="0058638E">
              <w:rPr>
                <w:noProof/>
                <w:webHidden/>
              </w:rPr>
              <w:fldChar w:fldCharType="end"/>
            </w:r>
          </w:hyperlink>
        </w:p>
        <w:p w14:paraId="60F52C00" w14:textId="5D705058" w:rsidR="0058638E" w:rsidRDefault="002F41F3">
          <w:pPr>
            <w:pStyle w:val="Verzeichnis2"/>
            <w:rPr>
              <w:rFonts w:asciiTheme="minorHAnsi" w:eastAsiaTheme="minorEastAsia" w:hAnsiTheme="minorHAnsi" w:cstheme="minorBidi"/>
              <w:noProof/>
              <w:sz w:val="22"/>
              <w:szCs w:val="22"/>
              <w:lang w:eastAsia="de-CH"/>
            </w:rPr>
          </w:pPr>
          <w:hyperlink w:anchor="_Toc147141447" w:history="1">
            <w:r w:rsidR="0058638E" w:rsidRPr="00845E0D">
              <w:rPr>
                <w:rStyle w:val="Hyperlink"/>
                <w:noProof/>
              </w:rPr>
              <w:t>5.2</w:t>
            </w:r>
            <w:r w:rsidR="0058638E">
              <w:rPr>
                <w:rFonts w:asciiTheme="minorHAnsi" w:eastAsiaTheme="minorEastAsia" w:hAnsiTheme="minorHAnsi" w:cstheme="minorBidi"/>
                <w:noProof/>
                <w:sz w:val="22"/>
                <w:szCs w:val="22"/>
                <w:lang w:eastAsia="de-CH"/>
              </w:rPr>
              <w:tab/>
            </w:r>
            <w:r w:rsidR="0058638E" w:rsidRPr="00845E0D">
              <w:rPr>
                <w:rStyle w:val="Hyperlink"/>
                <w:noProof/>
              </w:rPr>
              <w:t>Zahlungsmoratorium</w:t>
            </w:r>
            <w:r w:rsidR="0058638E">
              <w:rPr>
                <w:noProof/>
                <w:webHidden/>
              </w:rPr>
              <w:tab/>
            </w:r>
            <w:r w:rsidR="0058638E">
              <w:rPr>
                <w:noProof/>
                <w:webHidden/>
              </w:rPr>
              <w:fldChar w:fldCharType="begin"/>
            </w:r>
            <w:r w:rsidR="0058638E">
              <w:rPr>
                <w:noProof/>
                <w:webHidden/>
              </w:rPr>
              <w:instrText xml:space="preserve"> PAGEREF _Toc147141447 \h </w:instrText>
            </w:r>
            <w:r w:rsidR="0058638E">
              <w:rPr>
                <w:noProof/>
                <w:webHidden/>
              </w:rPr>
            </w:r>
            <w:r w:rsidR="0058638E">
              <w:rPr>
                <w:noProof/>
                <w:webHidden/>
              </w:rPr>
              <w:fldChar w:fldCharType="separate"/>
            </w:r>
            <w:r w:rsidR="0058638E">
              <w:rPr>
                <w:noProof/>
                <w:webHidden/>
              </w:rPr>
              <w:t>8</w:t>
            </w:r>
            <w:r w:rsidR="0058638E">
              <w:rPr>
                <w:noProof/>
                <w:webHidden/>
              </w:rPr>
              <w:fldChar w:fldCharType="end"/>
            </w:r>
          </w:hyperlink>
        </w:p>
        <w:p w14:paraId="38A5EFD7" w14:textId="73E18A85" w:rsidR="0058638E" w:rsidRDefault="002F41F3">
          <w:pPr>
            <w:pStyle w:val="Verzeichnis2"/>
            <w:rPr>
              <w:rFonts w:asciiTheme="minorHAnsi" w:eastAsiaTheme="minorEastAsia" w:hAnsiTheme="minorHAnsi" w:cstheme="minorBidi"/>
              <w:noProof/>
              <w:sz w:val="22"/>
              <w:szCs w:val="22"/>
              <w:lang w:eastAsia="de-CH"/>
            </w:rPr>
          </w:pPr>
          <w:hyperlink w:anchor="_Toc147141448" w:history="1">
            <w:r w:rsidR="0058638E" w:rsidRPr="00845E0D">
              <w:rPr>
                <w:rStyle w:val="Hyperlink"/>
                <w:noProof/>
              </w:rPr>
              <w:t>5.3</w:t>
            </w:r>
            <w:r w:rsidR="0058638E">
              <w:rPr>
                <w:rFonts w:asciiTheme="minorHAnsi" w:eastAsiaTheme="minorEastAsia" w:hAnsiTheme="minorHAnsi" w:cstheme="minorBidi"/>
                <w:noProof/>
                <w:sz w:val="22"/>
                <w:szCs w:val="22"/>
                <w:lang w:eastAsia="de-CH"/>
              </w:rPr>
              <w:tab/>
            </w:r>
            <w:r w:rsidR="0058638E" w:rsidRPr="00845E0D">
              <w:rPr>
                <w:rStyle w:val="Hyperlink"/>
                <w:noProof/>
              </w:rPr>
              <w:t>Vertrieb von nachrangigen berücksichtigungsfähigen Verbindlichkeiten</w:t>
            </w:r>
            <w:r w:rsidR="0058638E">
              <w:rPr>
                <w:noProof/>
                <w:webHidden/>
              </w:rPr>
              <w:tab/>
            </w:r>
            <w:r w:rsidR="0058638E">
              <w:rPr>
                <w:noProof/>
                <w:webHidden/>
              </w:rPr>
              <w:fldChar w:fldCharType="begin"/>
            </w:r>
            <w:r w:rsidR="0058638E">
              <w:rPr>
                <w:noProof/>
                <w:webHidden/>
              </w:rPr>
              <w:instrText xml:space="preserve"> PAGEREF _Toc147141448 \h </w:instrText>
            </w:r>
            <w:r w:rsidR="0058638E">
              <w:rPr>
                <w:noProof/>
                <w:webHidden/>
              </w:rPr>
            </w:r>
            <w:r w:rsidR="0058638E">
              <w:rPr>
                <w:noProof/>
                <w:webHidden/>
              </w:rPr>
              <w:fldChar w:fldCharType="separate"/>
            </w:r>
            <w:r w:rsidR="0058638E">
              <w:rPr>
                <w:noProof/>
                <w:webHidden/>
              </w:rPr>
              <w:t>9</w:t>
            </w:r>
            <w:r w:rsidR="0058638E">
              <w:rPr>
                <w:noProof/>
                <w:webHidden/>
              </w:rPr>
              <w:fldChar w:fldCharType="end"/>
            </w:r>
          </w:hyperlink>
        </w:p>
        <w:p w14:paraId="50EEDDE7" w14:textId="73E18524" w:rsidR="0058638E" w:rsidRDefault="002F41F3">
          <w:pPr>
            <w:pStyle w:val="Verzeichnis2"/>
            <w:rPr>
              <w:rFonts w:asciiTheme="minorHAnsi" w:eastAsiaTheme="minorEastAsia" w:hAnsiTheme="minorHAnsi" w:cstheme="minorBidi"/>
              <w:noProof/>
              <w:sz w:val="22"/>
              <w:szCs w:val="22"/>
              <w:lang w:eastAsia="de-CH"/>
            </w:rPr>
          </w:pPr>
          <w:hyperlink w:anchor="_Toc147141449" w:history="1">
            <w:r w:rsidR="0058638E" w:rsidRPr="00845E0D">
              <w:rPr>
                <w:rStyle w:val="Hyperlink"/>
                <w:noProof/>
              </w:rPr>
              <w:t>5.4</w:t>
            </w:r>
            <w:r w:rsidR="0058638E">
              <w:rPr>
                <w:rFonts w:asciiTheme="minorHAnsi" w:eastAsiaTheme="minorEastAsia" w:hAnsiTheme="minorHAnsi" w:cstheme="minorBidi"/>
                <w:noProof/>
                <w:sz w:val="22"/>
                <w:szCs w:val="22"/>
                <w:lang w:eastAsia="de-CH"/>
              </w:rPr>
              <w:tab/>
            </w:r>
            <w:r w:rsidR="0058638E" w:rsidRPr="00845E0D">
              <w:rPr>
                <w:rStyle w:val="Hyperlink"/>
                <w:noProof/>
              </w:rPr>
              <w:t>Meldewesen</w:t>
            </w:r>
            <w:r w:rsidR="0058638E">
              <w:rPr>
                <w:noProof/>
                <w:webHidden/>
              </w:rPr>
              <w:tab/>
            </w:r>
            <w:r w:rsidR="0058638E">
              <w:rPr>
                <w:noProof/>
                <w:webHidden/>
              </w:rPr>
              <w:fldChar w:fldCharType="begin"/>
            </w:r>
            <w:r w:rsidR="0058638E">
              <w:rPr>
                <w:noProof/>
                <w:webHidden/>
              </w:rPr>
              <w:instrText xml:space="preserve"> PAGEREF _Toc147141449 \h </w:instrText>
            </w:r>
            <w:r w:rsidR="0058638E">
              <w:rPr>
                <w:noProof/>
                <w:webHidden/>
              </w:rPr>
            </w:r>
            <w:r w:rsidR="0058638E">
              <w:rPr>
                <w:noProof/>
                <w:webHidden/>
              </w:rPr>
              <w:fldChar w:fldCharType="separate"/>
            </w:r>
            <w:r w:rsidR="0058638E">
              <w:rPr>
                <w:noProof/>
                <w:webHidden/>
              </w:rPr>
              <w:t>10</w:t>
            </w:r>
            <w:r w:rsidR="0058638E">
              <w:rPr>
                <w:noProof/>
                <w:webHidden/>
              </w:rPr>
              <w:fldChar w:fldCharType="end"/>
            </w:r>
          </w:hyperlink>
        </w:p>
        <w:p w14:paraId="76C3B5BD" w14:textId="2EE0A8D1" w:rsidR="0058638E" w:rsidRDefault="002F41F3">
          <w:pPr>
            <w:pStyle w:val="Verzeichnis2"/>
            <w:rPr>
              <w:rFonts w:asciiTheme="minorHAnsi" w:eastAsiaTheme="minorEastAsia" w:hAnsiTheme="minorHAnsi" w:cstheme="minorBidi"/>
              <w:noProof/>
              <w:sz w:val="22"/>
              <w:szCs w:val="22"/>
              <w:lang w:eastAsia="de-CH"/>
            </w:rPr>
          </w:pPr>
          <w:hyperlink w:anchor="_Toc147141450" w:history="1">
            <w:r w:rsidR="0058638E" w:rsidRPr="00845E0D">
              <w:rPr>
                <w:rStyle w:val="Hyperlink"/>
                <w:noProof/>
              </w:rPr>
              <w:t>5.5</w:t>
            </w:r>
            <w:r w:rsidR="0058638E">
              <w:rPr>
                <w:rFonts w:asciiTheme="minorHAnsi" w:eastAsiaTheme="minorEastAsia" w:hAnsiTheme="minorHAnsi" w:cstheme="minorBidi"/>
                <w:noProof/>
                <w:sz w:val="22"/>
                <w:szCs w:val="22"/>
                <w:lang w:eastAsia="de-CH"/>
              </w:rPr>
              <w:tab/>
            </w:r>
            <w:r w:rsidR="0058638E" w:rsidRPr="00845E0D">
              <w:rPr>
                <w:rStyle w:val="Hyperlink"/>
                <w:noProof/>
              </w:rPr>
              <w:t>Offenlegung</w:t>
            </w:r>
            <w:r w:rsidR="0058638E">
              <w:rPr>
                <w:noProof/>
                <w:webHidden/>
              </w:rPr>
              <w:tab/>
            </w:r>
            <w:r w:rsidR="0058638E">
              <w:rPr>
                <w:noProof/>
                <w:webHidden/>
              </w:rPr>
              <w:fldChar w:fldCharType="begin"/>
            </w:r>
            <w:r w:rsidR="0058638E">
              <w:rPr>
                <w:noProof/>
                <w:webHidden/>
              </w:rPr>
              <w:instrText xml:space="preserve"> PAGEREF _Toc147141450 \h </w:instrText>
            </w:r>
            <w:r w:rsidR="0058638E">
              <w:rPr>
                <w:noProof/>
                <w:webHidden/>
              </w:rPr>
            </w:r>
            <w:r w:rsidR="0058638E">
              <w:rPr>
                <w:noProof/>
                <w:webHidden/>
              </w:rPr>
              <w:fldChar w:fldCharType="separate"/>
            </w:r>
            <w:r w:rsidR="0058638E">
              <w:rPr>
                <w:noProof/>
                <w:webHidden/>
              </w:rPr>
              <w:t>10</w:t>
            </w:r>
            <w:r w:rsidR="0058638E">
              <w:rPr>
                <w:noProof/>
                <w:webHidden/>
              </w:rPr>
              <w:fldChar w:fldCharType="end"/>
            </w:r>
          </w:hyperlink>
        </w:p>
        <w:p w14:paraId="4D201729" w14:textId="0DFCD218" w:rsidR="0058638E" w:rsidRDefault="002F41F3">
          <w:pPr>
            <w:pStyle w:val="Verzeichnis1"/>
            <w:rPr>
              <w:rFonts w:asciiTheme="minorHAnsi" w:eastAsiaTheme="minorEastAsia" w:hAnsiTheme="minorHAnsi" w:cstheme="minorBidi"/>
              <w:b w:val="0"/>
              <w:bCs w:val="0"/>
              <w:sz w:val="22"/>
              <w:szCs w:val="22"/>
              <w:lang w:eastAsia="de-CH"/>
            </w:rPr>
          </w:pPr>
          <w:hyperlink w:anchor="_Toc147141451" w:history="1">
            <w:r w:rsidR="0058638E" w:rsidRPr="00845E0D">
              <w:rPr>
                <w:rStyle w:val="Hyperlink"/>
              </w:rPr>
              <w:t>6.</w:t>
            </w:r>
            <w:r w:rsidR="0058638E">
              <w:rPr>
                <w:rFonts w:asciiTheme="minorHAnsi" w:eastAsiaTheme="minorEastAsia" w:hAnsiTheme="minorHAnsi" w:cstheme="minorBidi"/>
                <w:b w:val="0"/>
                <w:bCs w:val="0"/>
                <w:sz w:val="22"/>
                <w:szCs w:val="22"/>
                <w:lang w:eastAsia="de-CH"/>
              </w:rPr>
              <w:tab/>
            </w:r>
            <w:r w:rsidR="0058638E" w:rsidRPr="00845E0D">
              <w:rPr>
                <w:rStyle w:val="Hyperlink"/>
              </w:rPr>
              <w:t>Besonderer Teil</w:t>
            </w:r>
            <w:r w:rsidR="0058638E">
              <w:rPr>
                <w:webHidden/>
              </w:rPr>
              <w:tab/>
            </w:r>
            <w:r w:rsidR="0058638E">
              <w:rPr>
                <w:webHidden/>
              </w:rPr>
              <w:fldChar w:fldCharType="begin"/>
            </w:r>
            <w:r w:rsidR="0058638E">
              <w:rPr>
                <w:webHidden/>
              </w:rPr>
              <w:instrText xml:space="preserve"> PAGEREF _Toc147141451 \h </w:instrText>
            </w:r>
            <w:r w:rsidR="0058638E">
              <w:rPr>
                <w:webHidden/>
              </w:rPr>
            </w:r>
            <w:r w:rsidR="0058638E">
              <w:rPr>
                <w:webHidden/>
              </w:rPr>
              <w:fldChar w:fldCharType="separate"/>
            </w:r>
            <w:r w:rsidR="0058638E">
              <w:rPr>
                <w:webHidden/>
              </w:rPr>
              <w:t>12</w:t>
            </w:r>
            <w:r w:rsidR="0058638E">
              <w:rPr>
                <w:webHidden/>
              </w:rPr>
              <w:fldChar w:fldCharType="end"/>
            </w:r>
          </w:hyperlink>
        </w:p>
        <w:p w14:paraId="63255157" w14:textId="51EB47D9" w:rsidR="0058638E" w:rsidRDefault="002F41F3">
          <w:pPr>
            <w:pStyle w:val="Verzeichnis2"/>
            <w:rPr>
              <w:rFonts w:asciiTheme="minorHAnsi" w:eastAsiaTheme="minorEastAsia" w:hAnsiTheme="minorHAnsi" w:cstheme="minorBidi"/>
              <w:noProof/>
              <w:sz w:val="22"/>
              <w:szCs w:val="22"/>
              <w:lang w:eastAsia="de-CH"/>
            </w:rPr>
          </w:pPr>
          <w:hyperlink w:anchor="_Toc147141452" w:history="1">
            <w:r w:rsidR="0058638E" w:rsidRPr="00845E0D">
              <w:rPr>
                <w:rStyle w:val="Hyperlink"/>
                <w:noProof/>
              </w:rPr>
              <w:t>6.1</w:t>
            </w:r>
            <w:r w:rsidR="0058638E">
              <w:rPr>
                <w:rFonts w:asciiTheme="minorHAnsi" w:eastAsiaTheme="minorEastAsia" w:hAnsiTheme="minorHAnsi" w:cstheme="minorBidi"/>
                <w:noProof/>
                <w:sz w:val="22"/>
                <w:szCs w:val="22"/>
                <w:lang w:eastAsia="de-CH"/>
              </w:rPr>
              <w:tab/>
            </w:r>
            <w:r w:rsidR="0058638E" w:rsidRPr="00845E0D">
              <w:rPr>
                <w:rStyle w:val="Hyperlink"/>
                <w:noProof/>
              </w:rPr>
              <w:t>Durchführbarkeit des Abwicklungsplans</w:t>
            </w:r>
            <w:r w:rsidR="0058638E">
              <w:rPr>
                <w:noProof/>
                <w:webHidden/>
              </w:rPr>
              <w:tab/>
            </w:r>
            <w:r w:rsidR="0058638E">
              <w:rPr>
                <w:noProof/>
                <w:webHidden/>
              </w:rPr>
              <w:fldChar w:fldCharType="begin"/>
            </w:r>
            <w:r w:rsidR="0058638E">
              <w:rPr>
                <w:noProof/>
                <w:webHidden/>
              </w:rPr>
              <w:instrText xml:space="preserve"> PAGEREF _Toc147141452 \h </w:instrText>
            </w:r>
            <w:r w:rsidR="0058638E">
              <w:rPr>
                <w:noProof/>
                <w:webHidden/>
              </w:rPr>
            </w:r>
            <w:r w:rsidR="0058638E">
              <w:rPr>
                <w:noProof/>
                <w:webHidden/>
              </w:rPr>
              <w:fldChar w:fldCharType="separate"/>
            </w:r>
            <w:r w:rsidR="0058638E">
              <w:rPr>
                <w:noProof/>
                <w:webHidden/>
              </w:rPr>
              <w:t>12</w:t>
            </w:r>
            <w:r w:rsidR="0058638E">
              <w:rPr>
                <w:noProof/>
                <w:webHidden/>
              </w:rPr>
              <w:fldChar w:fldCharType="end"/>
            </w:r>
          </w:hyperlink>
        </w:p>
        <w:p w14:paraId="29AE6174" w14:textId="427B5B80" w:rsidR="0058638E" w:rsidRDefault="002F41F3">
          <w:pPr>
            <w:pStyle w:val="Verzeichnis2"/>
            <w:rPr>
              <w:rFonts w:asciiTheme="minorHAnsi" w:eastAsiaTheme="minorEastAsia" w:hAnsiTheme="minorHAnsi" w:cstheme="minorBidi"/>
              <w:noProof/>
              <w:sz w:val="22"/>
              <w:szCs w:val="22"/>
              <w:lang w:eastAsia="de-CH"/>
            </w:rPr>
          </w:pPr>
          <w:hyperlink w:anchor="_Toc147141453" w:history="1">
            <w:r w:rsidR="0058638E" w:rsidRPr="00845E0D">
              <w:rPr>
                <w:rStyle w:val="Hyperlink"/>
                <w:noProof/>
              </w:rPr>
              <w:t>6.2</w:t>
            </w:r>
            <w:r w:rsidR="0058638E">
              <w:rPr>
                <w:rFonts w:asciiTheme="minorHAnsi" w:eastAsiaTheme="minorEastAsia" w:hAnsiTheme="minorHAnsi" w:cstheme="minorBidi"/>
                <w:noProof/>
                <w:sz w:val="22"/>
                <w:szCs w:val="22"/>
                <w:lang w:eastAsia="de-CH"/>
              </w:rPr>
              <w:tab/>
            </w:r>
            <w:r w:rsidR="0058638E" w:rsidRPr="00845E0D">
              <w:rPr>
                <w:rStyle w:val="Hyperlink"/>
                <w:noProof/>
              </w:rPr>
              <w:t>Management Information System (MIS)</w:t>
            </w:r>
            <w:r w:rsidR="0058638E">
              <w:rPr>
                <w:noProof/>
                <w:webHidden/>
              </w:rPr>
              <w:tab/>
            </w:r>
            <w:r w:rsidR="0058638E">
              <w:rPr>
                <w:noProof/>
                <w:webHidden/>
              </w:rPr>
              <w:fldChar w:fldCharType="begin"/>
            </w:r>
            <w:r w:rsidR="0058638E">
              <w:rPr>
                <w:noProof/>
                <w:webHidden/>
              </w:rPr>
              <w:instrText xml:space="preserve"> PAGEREF _Toc147141453 \h </w:instrText>
            </w:r>
            <w:r w:rsidR="0058638E">
              <w:rPr>
                <w:noProof/>
                <w:webHidden/>
              </w:rPr>
            </w:r>
            <w:r w:rsidR="0058638E">
              <w:rPr>
                <w:noProof/>
                <w:webHidden/>
              </w:rPr>
              <w:fldChar w:fldCharType="separate"/>
            </w:r>
            <w:r w:rsidR="0058638E">
              <w:rPr>
                <w:noProof/>
                <w:webHidden/>
              </w:rPr>
              <w:t>13</w:t>
            </w:r>
            <w:r w:rsidR="0058638E">
              <w:rPr>
                <w:noProof/>
                <w:webHidden/>
              </w:rPr>
              <w:fldChar w:fldCharType="end"/>
            </w:r>
          </w:hyperlink>
        </w:p>
        <w:p w14:paraId="21DD79BB" w14:textId="24F0C72C" w:rsidR="0058638E" w:rsidRDefault="002F41F3">
          <w:pPr>
            <w:pStyle w:val="Verzeichnis2"/>
            <w:rPr>
              <w:rFonts w:asciiTheme="minorHAnsi" w:eastAsiaTheme="minorEastAsia" w:hAnsiTheme="minorHAnsi" w:cstheme="minorBidi"/>
              <w:noProof/>
              <w:sz w:val="22"/>
              <w:szCs w:val="22"/>
              <w:lang w:eastAsia="de-CH"/>
            </w:rPr>
          </w:pPr>
          <w:hyperlink w:anchor="_Toc147141454" w:history="1">
            <w:r w:rsidR="0058638E" w:rsidRPr="00845E0D">
              <w:rPr>
                <w:rStyle w:val="Hyperlink"/>
                <w:noProof/>
              </w:rPr>
              <w:t>6.3</w:t>
            </w:r>
            <w:r w:rsidR="0058638E">
              <w:rPr>
                <w:rFonts w:asciiTheme="minorHAnsi" w:eastAsiaTheme="minorEastAsia" w:hAnsiTheme="minorHAnsi" w:cstheme="minorBidi"/>
                <w:noProof/>
                <w:sz w:val="22"/>
                <w:szCs w:val="22"/>
                <w:lang w:eastAsia="de-CH"/>
              </w:rPr>
              <w:tab/>
            </w:r>
            <w:r w:rsidR="0058638E" w:rsidRPr="00845E0D">
              <w:rPr>
                <w:rStyle w:val="Hyperlink"/>
                <w:noProof/>
              </w:rPr>
              <w:t>Operative Kontinuität</w:t>
            </w:r>
            <w:r w:rsidR="0058638E">
              <w:rPr>
                <w:noProof/>
                <w:webHidden/>
              </w:rPr>
              <w:tab/>
            </w:r>
            <w:r w:rsidR="0058638E">
              <w:rPr>
                <w:noProof/>
                <w:webHidden/>
              </w:rPr>
              <w:fldChar w:fldCharType="begin"/>
            </w:r>
            <w:r w:rsidR="0058638E">
              <w:rPr>
                <w:noProof/>
                <w:webHidden/>
              </w:rPr>
              <w:instrText xml:space="preserve"> PAGEREF _Toc147141454 \h </w:instrText>
            </w:r>
            <w:r w:rsidR="0058638E">
              <w:rPr>
                <w:noProof/>
                <w:webHidden/>
              </w:rPr>
            </w:r>
            <w:r w:rsidR="0058638E">
              <w:rPr>
                <w:noProof/>
                <w:webHidden/>
              </w:rPr>
              <w:fldChar w:fldCharType="separate"/>
            </w:r>
            <w:r w:rsidR="0058638E">
              <w:rPr>
                <w:noProof/>
                <w:webHidden/>
              </w:rPr>
              <w:t>14</w:t>
            </w:r>
            <w:r w:rsidR="0058638E">
              <w:rPr>
                <w:noProof/>
                <w:webHidden/>
              </w:rPr>
              <w:fldChar w:fldCharType="end"/>
            </w:r>
          </w:hyperlink>
        </w:p>
        <w:p w14:paraId="4893C590" w14:textId="726CBBB2" w:rsidR="0058638E" w:rsidRDefault="002F41F3">
          <w:pPr>
            <w:pStyle w:val="Verzeichnis2"/>
            <w:rPr>
              <w:rFonts w:asciiTheme="minorHAnsi" w:eastAsiaTheme="minorEastAsia" w:hAnsiTheme="minorHAnsi" w:cstheme="minorBidi"/>
              <w:noProof/>
              <w:sz w:val="22"/>
              <w:szCs w:val="22"/>
              <w:lang w:eastAsia="de-CH"/>
            </w:rPr>
          </w:pPr>
          <w:hyperlink w:anchor="_Toc147141455" w:history="1">
            <w:r w:rsidR="0058638E" w:rsidRPr="00845E0D">
              <w:rPr>
                <w:rStyle w:val="Hyperlink"/>
                <w:noProof/>
              </w:rPr>
              <w:t>6.4</w:t>
            </w:r>
            <w:r w:rsidR="0058638E">
              <w:rPr>
                <w:rFonts w:asciiTheme="minorHAnsi" w:eastAsiaTheme="minorEastAsia" w:hAnsiTheme="minorHAnsi" w:cstheme="minorBidi"/>
                <w:noProof/>
                <w:sz w:val="22"/>
                <w:szCs w:val="22"/>
                <w:lang w:eastAsia="de-CH"/>
              </w:rPr>
              <w:tab/>
            </w:r>
            <w:r w:rsidR="0058638E" w:rsidRPr="00845E0D">
              <w:rPr>
                <w:rStyle w:val="Hyperlink"/>
                <w:noProof/>
              </w:rPr>
              <w:t>Verlustabsorption und Rekapitalisierung</w:t>
            </w:r>
            <w:r w:rsidR="0058638E">
              <w:rPr>
                <w:noProof/>
                <w:webHidden/>
              </w:rPr>
              <w:tab/>
            </w:r>
            <w:r w:rsidR="0058638E">
              <w:rPr>
                <w:noProof/>
                <w:webHidden/>
              </w:rPr>
              <w:fldChar w:fldCharType="begin"/>
            </w:r>
            <w:r w:rsidR="0058638E">
              <w:rPr>
                <w:noProof/>
                <w:webHidden/>
              </w:rPr>
              <w:instrText xml:space="preserve"> PAGEREF _Toc147141455 \h </w:instrText>
            </w:r>
            <w:r w:rsidR="0058638E">
              <w:rPr>
                <w:noProof/>
                <w:webHidden/>
              </w:rPr>
            </w:r>
            <w:r w:rsidR="0058638E">
              <w:rPr>
                <w:noProof/>
                <w:webHidden/>
              </w:rPr>
              <w:fldChar w:fldCharType="separate"/>
            </w:r>
            <w:r w:rsidR="0058638E">
              <w:rPr>
                <w:noProof/>
                <w:webHidden/>
              </w:rPr>
              <w:t>15</w:t>
            </w:r>
            <w:r w:rsidR="0058638E">
              <w:rPr>
                <w:noProof/>
                <w:webHidden/>
              </w:rPr>
              <w:fldChar w:fldCharType="end"/>
            </w:r>
          </w:hyperlink>
        </w:p>
        <w:p w14:paraId="680EFBDA" w14:textId="3243F710" w:rsidR="0058638E" w:rsidRDefault="002F41F3">
          <w:pPr>
            <w:pStyle w:val="Verzeichnis2"/>
            <w:rPr>
              <w:rFonts w:asciiTheme="minorHAnsi" w:eastAsiaTheme="minorEastAsia" w:hAnsiTheme="minorHAnsi" w:cstheme="minorBidi"/>
              <w:noProof/>
              <w:sz w:val="22"/>
              <w:szCs w:val="22"/>
              <w:lang w:eastAsia="de-CH"/>
            </w:rPr>
          </w:pPr>
          <w:hyperlink w:anchor="_Toc147141456" w:history="1">
            <w:r w:rsidR="0058638E" w:rsidRPr="00845E0D">
              <w:rPr>
                <w:rStyle w:val="Hyperlink"/>
                <w:noProof/>
              </w:rPr>
              <w:t>6.5</w:t>
            </w:r>
            <w:r w:rsidR="0058638E">
              <w:rPr>
                <w:rFonts w:asciiTheme="minorHAnsi" w:eastAsiaTheme="minorEastAsia" w:hAnsiTheme="minorHAnsi" w:cstheme="minorBidi"/>
                <w:noProof/>
                <w:sz w:val="22"/>
                <w:szCs w:val="22"/>
                <w:lang w:eastAsia="de-CH"/>
              </w:rPr>
              <w:tab/>
            </w:r>
            <w:r w:rsidR="0058638E" w:rsidRPr="00845E0D">
              <w:rPr>
                <w:rStyle w:val="Hyperlink"/>
                <w:noProof/>
              </w:rPr>
              <w:t>Liquidität und Refinanzierung</w:t>
            </w:r>
            <w:r w:rsidR="0058638E">
              <w:rPr>
                <w:noProof/>
                <w:webHidden/>
              </w:rPr>
              <w:tab/>
            </w:r>
            <w:r w:rsidR="0058638E">
              <w:rPr>
                <w:noProof/>
                <w:webHidden/>
              </w:rPr>
              <w:fldChar w:fldCharType="begin"/>
            </w:r>
            <w:r w:rsidR="0058638E">
              <w:rPr>
                <w:noProof/>
                <w:webHidden/>
              </w:rPr>
              <w:instrText xml:space="preserve"> PAGEREF _Toc147141456 \h </w:instrText>
            </w:r>
            <w:r w:rsidR="0058638E">
              <w:rPr>
                <w:noProof/>
                <w:webHidden/>
              </w:rPr>
            </w:r>
            <w:r w:rsidR="0058638E">
              <w:rPr>
                <w:noProof/>
                <w:webHidden/>
              </w:rPr>
              <w:fldChar w:fldCharType="separate"/>
            </w:r>
            <w:r w:rsidR="0058638E">
              <w:rPr>
                <w:noProof/>
                <w:webHidden/>
              </w:rPr>
              <w:t>16</w:t>
            </w:r>
            <w:r w:rsidR="0058638E">
              <w:rPr>
                <w:noProof/>
                <w:webHidden/>
              </w:rPr>
              <w:fldChar w:fldCharType="end"/>
            </w:r>
          </w:hyperlink>
        </w:p>
        <w:p w14:paraId="21E0D288" w14:textId="4FF9D503" w:rsidR="0058638E" w:rsidRDefault="002F41F3">
          <w:pPr>
            <w:pStyle w:val="Verzeichnis2"/>
            <w:rPr>
              <w:rFonts w:asciiTheme="minorHAnsi" w:eastAsiaTheme="minorEastAsia" w:hAnsiTheme="minorHAnsi" w:cstheme="minorBidi"/>
              <w:noProof/>
              <w:sz w:val="22"/>
              <w:szCs w:val="22"/>
              <w:lang w:eastAsia="de-CH"/>
            </w:rPr>
          </w:pPr>
          <w:hyperlink w:anchor="_Toc147141457" w:history="1">
            <w:r w:rsidR="0058638E" w:rsidRPr="00845E0D">
              <w:rPr>
                <w:rStyle w:val="Hyperlink"/>
                <w:noProof/>
              </w:rPr>
              <w:t>6.6</w:t>
            </w:r>
            <w:r w:rsidR="0058638E">
              <w:rPr>
                <w:rFonts w:asciiTheme="minorHAnsi" w:eastAsiaTheme="minorEastAsia" w:hAnsiTheme="minorHAnsi" w:cstheme="minorBidi"/>
                <w:noProof/>
                <w:sz w:val="22"/>
                <w:szCs w:val="22"/>
                <w:lang w:eastAsia="de-CH"/>
              </w:rPr>
              <w:tab/>
            </w:r>
            <w:r w:rsidR="0058638E" w:rsidRPr="00845E0D">
              <w:rPr>
                <w:rStyle w:val="Hyperlink"/>
                <w:noProof/>
              </w:rPr>
              <w:t>Transferstrategien</w:t>
            </w:r>
            <w:r w:rsidR="0058638E">
              <w:rPr>
                <w:noProof/>
                <w:webHidden/>
              </w:rPr>
              <w:tab/>
            </w:r>
            <w:r w:rsidR="0058638E">
              <w:rPr>
                <w:noProof/>
                <w:webHidden/>
              </w:rPr>
              <w:fldChar w:fldCharType="begin"/>
            </w:r>
            <w:r w:rsidR="0058638E">
              <w:rPr>
                <w:noProof/>
                <w:webHidden/>
              </w:rPr>
              <w:instrText xml:space="preserve"> PAGEREF _Toc147141457 \h </w:instrText>
            </w:r>
            <w:r w:rsidR="0058638E">
              <w:rPr>
                <w:noProof/>
                <w:webHidden/>
              </w:rPr>
            </w:r>
            <w:r w:rsidR="0058638E">
              <w:rPr>
                <w:noProof/>
                <w:webHidden/>
              </w:rPr>
              <w:fldChar w:fldCharType="separate"/>
            </w:r>
            <w:r w:rsidR="0058638E">
              <w:rPr>
                <w:noProof/>
                <w:webHidden/>
              </w:rPr>
              <w:t>17</w:t>
            </w:r>
            <w:r w:rsidR="0058638E">
              <w:rPr>
                <w:noProof/>
                <w:webHidden/>
              </w:rPr>
              <w:fldChar w:fldCharType="end"/>
            </w:r>
          </w:hyperlink>
        </w:p>
        <w:p w14:paraId="48F97A4E" w14:textId="5C3D7575" w:rsidR="0058638E" w:rsidRDefault="002F41F3">
          <w:pPr>
            <w:pStyle w:val="Verzeichnis1"/>
            <w:rPr>
              <w:rFonts w:asciiTheme="minorHAnsi" w:eastAsiaTheme="minorEastAsia" w:hAnsiTheme="minorHAnsi" w:cstheme="minorBidi"/>
              <w:b w:val="0"/>
              <w:bCs w:val="0"/>
              <w:sz w:val="22"/>
              <w:szCs w:val="22"/>
              <w:lang w:eastAsia="de-CH"/>
            </w:rPr>
          </w:pPr>
          <w:hyperlink w:anchor="_Toc147141458" w:history="1">
            <w:r w:rsidR="0058638E" w:rsidRPr="00845E0D">
              <w:rPr>
                <w:rStyle w:val="Hyperlink"/>
              </w:rPr>
              <w:t>7.</w:t>
            </w:r>
            <w:r w:rsidR="0058638E">
              <w:rPr>
                <w:rFonts w:asciiTheme="minorHAnsi" w:eastAsiaTheme="minorEastAsia" w:hAnsiTheme="minorHAnsi" w:cstheme="minorBidi"/>
                <w:b w:val="0"/>
                <w:bCs w:val="0"/>
                <w:sz w:val="22"/>
                <w:szCs w:val="22"/>
                <w:lang w:eastAsia="de-CH"/>
              </w:rPr>
              <w:tab/>
            </w:r>
            <w:r w:rsidR="0058638E" w:rsidRPr="00845E0D">
              <w:rPr>
                <w:rStyle w:val="Hyperlink"/>
              </w:rPr>
              <w:t>Weitere Bemerkungen</w:t>
            </w:r>
            <w:r w:rsidR="0058638E">
              <w:rPr>
                <w:webHidden/>
              </w:rPr>
              <w:tab/>
            </w:r>
            <w:r w:rsidR="0058638E">
              <w:rPr>
                <w:webHidden/>
              </w:rPr>
              <w:fldChar w:fldCharType="begin"/>
            </w:r>
            <w:r w:rsidR="0058638E">
              <w:rPr>
                <w:webHidden/>
              </w:rPr>
              <w:instrText xml:space="preserve"> PAGEREF _Toc147141458 \h </w:instrText>
            </w:r>
            <w:r w:rsidR="0058638E">
              <w:rPr>
                <w:webHidden/>
              </w:rPr>
            </w:r>
            <w:r w:rsidR="0058638E">
              <w:rPr>
                <w:webHidden/>
              </w:rPr>
              <w:fldChar w:fldCharType="separate"/>
            </w:r>
            <w:r w:rsidR="0058638E">
              <w:rPr>
                <w:webHidden/>
              </w:rPr>
              <w:t>18</w:t>
            </w:r>
            <w:r w:rsidR="0058638E">
              <w:rPr>
                <w:webHidden/>
              </w:rPr>
              <w:fldChar w:fldCharType="end"/>
            </w:r>
          </w:hyperlink>
        </w:p>
        <w:p w14:paraId="25D5E671" w14:textId="6F7A69CC" w:rsidR="0058638E" w:rsidRDefault="002F41F3">
          <w:pPr>
            <w:pStyle w:val="Verzeichnis1"/>
            <w:rPr>
              <w:rFonts w:asciiTheme="minorHAnsi" w:eastAsiaTheme="minorEastAsia" w:hAnsiTheme="minorHAnsi" w:cstheme="minorBidi"/>
              <w:b w:val="0"/>
              <w:bCs w:val="0"/>
              <w:sz w:val="22"/>
              <w:szCs w:val="22"/>
              <w:lang w:eastAsia="de-CH"/>
            </w:rPr>
          </w:pPr>
          <w:hyperlink w:anchor="_Toc147141459" w:history="1">
            <w:r w:rsidR="0058638E" w:rsidRPr="00845E0D">
              <w:rPr>
                <w:rStyle w:val="Hyperlink"/>
              </w:rPr>
              <w:t>8.</w:t>
            </w:r>
            <w:r w:rsidR="0058638E">
              <w:rPr>
                <w:rFonts w:asciiTheme="minorHAnsi" w:eastAsiaTheme="minorEastAsia" w:hAnsiTheme="minorHAnsi" w:cstheme="minorBidi"/>
                <w:b w:val="0"/>
                <w:bCs w:val="0"/>
                <w:sz w:val="22"/>
                <w:szCs w:val="22"/>
                <w:lang w:eastAsia="de-CH"/>
              </w:rPr>
              <w:tab/>
            </w:r>
            <w:r w:rsidR="0058638E" w:rsidRPr="00845E0D">
              <w:rPr>
                <w:rStyle w:val="Hyperlink"/>
              </w:rPr>
              <w:t>Unterschrift / Bestätigung des Wirtschaftsprüfers</w:t>
            </w:r>
            <w:r w:rsidR="0058638E">
              <w:rPr>
                <w:webHidden/>
              </w:rPr>
              <w:tab/>
            </w:r>
            <w:r w:rsidR="0058638E">
              <w:rPr>
                <w:webHidden/>
              </w:rPr>
              <w:fldChar w:fldCharType="begin"/>
            </w:r>
            <w:r w:rsidR="0058638E">
              <w:rPr>
                <w:webHidden/>
              </w:rPr>
              <w:instrText xml:space="preserve"> PAGEREF _Toc147141459 \h </w:instrText>
            </w:r>
            <w:r w:rsidR="0058638E">
              <w:rPr>
                <w:webHidden/>
              </w:rPr>
            </w:r>
            <w:r w:rsidR="0058638E">
              <w:rPr>
                <w:webHidden/>
              </w:rPr>
              <w:fldChar w:fldCharType="separate"/>
            </w:r>
            <w:r w:rsidR="0058638E">
              <w:rPr>
                <w:webHidden/>
              </w:rPr>
              <w:t>18</w:t>
            </w:r>
            <w:r w:rsidR="0058638E">
              <w:rPr>
                <w:webHidden/>
              </w:rPr>
              <w:fldChar w:fldCharType="end"/>
            </w:r>
          </w:hyperlink>
        </w:p>
        <w:p w14:paraId="19F64A4E" w14:textId="51011D4E" w:rsidR="0058638E" w:rsidRDefault="002F41F3">
          <w:pPr>
            <w:pStyle w:val="Verzeichnis1"/>
            <w:rPr>
              <w:rFonts w:asciiTheme="minorHAnsi" w:eastAsiaTheme="minorEastAsia" w:hAnsiTheme="minorHAnsi" w:cstheme="minorBidi"/>
              <w:b w:val="0"/>
              <w:bCs w:val="0"/>
              <w:sz w:val="22"/>
              <w:szCs w:val="22"/>
              <w:lang w:eastAsia="de-CH"/>
            </w:rPr>
          </w:pPr>
          <w:hyperlink w:anchor="_Toc147141460" w:history="1">
            <w:r w:rsidR="0058638E" w:rsidRPr="00845E0D">
              <w:rPr>
                <w:rStyle w:val="Hyperlink"/>
              </w:rPr>
              <w:t>9.</w:t>
            </w:r>
            <w:r w:rsidR="0058638E">
              <w:rPr>
                <w:rFonts w:asciiTheme="minorHAnsi" w:eastAsiaTheme="minorEastAsia" w:hAnsiTheme="minorHAnsi" w:cstheme="minorBidi"/>
                <w:b w:val="0"/>
                <w:bCs w:val="0"/>
                <w:sz w:val="22"/>
                <w:szCs w:val="22"/>
                <w:lang w:eastAsia="de-CH"/>
              </w:rPr>
              <w:tab/>
            </w:r>
            <w:r w:rsidR="0058638E" w:rsidRPr="00845E0D">
              <w:rPr>
                <w:rStyle w:val="Hyperlink"/>
              </w:rPr>
              <w:t>Anhang</w:t>
            </w:r>
            <w:r w:rsidR="0058638E">
              <w:rPr>
                <w:webHidden/>
              </w:rPr>
              <w:tab/>
            </w:r>
            <w:r w:rsidR="0058638E">
              <w:rPr>
                <w:webHidden/>
              </w:rPr>
              <w:fldChar w:fldCharType="begin"/>
            </w:r>
            <w:r w:rsidR="0058638E">
              <w:rPr>
                <w:webHidden/>
              </w:rPr>
              <w:instrText xml:space="preserve"> PAGEREF _Toc147141460 \h </w:instrText>
            </w:r>
            <w:r w:rsidR="0058638E">
              <w:rPr>
                <w:webHidden/>
              </w:rPr>
            </w:r>
            <w:r w:rsidR="0058638E">
              <w:rPr>
                <w:webHidden/>
              </w:rPr>
              <w:fldChar w:fldCharType="separate"/>
            </w:r>
            <w:r w:rsidR="0058638E">
              <w:rPr>
                <w:webHidden/>
              </w:rPr>
              <w:t>18</w:t>
            </w:r>
            <w:r w:rsidR="0058638E">
              <w:rPr>
                <w:webHidden/>
              </w:rPr>
              <w:fldChar w:fldCharType="end"/>
            </w:r>
          </w:hyperlink>
        </w:p>
        <w:p w14:paraId="40272320" w14:textId="2EA20E93"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3F6689BD" w:rsidR="00DD5846" w:rsidRPr="00897AEF" w:rsidRDefault="009560B2" w:rsidP="003A65D2">
      <w:pPr>
        <w:jc w:val="both"/>
        <w:rPr>
          <w:rFonts w:ascii="Arial" w:hAnsi="Arial" w:cs="Arial"/>
          <w:b/>
          <w:i/>
        </w:rPr>
      </w:pPr>
      <w:r>
        <w:rPr>
          <w:rFonts w:ascii="Arial" w:hAnsi="Arial" w:cs="Arial"/>
          <w:b/>
          <w:i/>
          <w:highlight w:val="yellow"/>
        </w:rPr>
        <w:lastRenderedPageBreak/>
        <w:t>Firma Abwicklungseinheit/Liquidationseinheit</w:t>
      </w:r>
      <w:r w:rsidR="00404617">
        <w:rPr>
          <w:rFonts w:ascii="Arial" w:hAnsi="Arial" w:cs="Arial"/>
          <w:b/>
          <w:i/>
          <w:highlight w:val="yellow"/>
        </w:rPr>
        <w:t xml:space="preserve"> (</w:t>
      </w:r>
      <w:r w:rsidR="00145D00">
        <w:rPr>
          <w:rFonts w:ascii="Arial" w:hAnsi="Arial" w:cs="Arial"/>
          <w:b/>
          <w:i/>
          <w:highlight w:val="yellow"/>
        </w:rPr>
        <w:t>Abwic</w:t>
      </w:r>
      <w:r w:rsidR="008C2B4B">
        <w:rPr>
          <w:rFonts w:ascii="Arial" w:hAnsi="Arial" w:cs="Arial"/>
          <w:b/>
          <w:i/>
          <w:highlight w:val="yellow"/>
        </w:rPr>
        <w:t>k</w:t>
      </w:r>
      <w:r w:rsidR="00145D00">
        <w:rPr>
          <w:rFonts w:ascii="Arial" w:hAnsi="Arial" w:cs="Arial"/>
          <w:b/>
          <w:i/>
          <w:highlight w:val="yellow"/>
        </w:rPr>
        <w:t>lungsgruppe</w:t>
      </w:r>
      <w:r w:rsidR="00404617">
        <w:rPr>
          <w:rFonts w:ascii="Arial" w:hAnsi="Arial" w:cs="Arial"/>
          <w:b/>
          <w:i/>
          <w:highlight w:val="yellow"/>
        </w:rPr>
        <w:t>)</w:t>
      </w:r>
    </w:p>
    <w:p w14:paraId="6A7C0CF5" w14:textId="77777777" w:rsidR="003A65D2" w:rsidRPr="00897AEF" w:rsidRDefault="003A65D2" w:rsidP="003A65D2">
      <w:pPr>
        <w:jc w:val="both"/>
        <w:rPr>
          <w:rFonts w:ascii="Arial" w:hAnsi="Arial" w:cs="Arial"/>
          <w:b/>
        </w:rPr>
      </w:pPr>
    </w:p>
    <w:p w14:paraId="340A13CF" w14:textId="17E07FAF" w:rsidR="003A65D2" w:rsidRPr="00897AEF" w:rsidRDefault="003A65D2" w:rsidP="003A65D2">
      <w:pPr>
        <w:jc w:val="both"/>
        <w:rPr>
          <w:rFonts w:ascii="Arial" w:hAnsi="Arial" w:cs="Arial"/>
        </w:rPr>
      </w:pPr>
      <w:r w:rsidRPr="00897AEF">
        <w:rPr>
          <w:rFonts w:ascii="Arial" w:hAnsi="Arial" w:cs="Arial"/>
        </w:rPr>
        <w:t xml:space="preserve">Bericht gemäss </w:t>
      </w:r>
      <w:r w:rsidR="008C2B4B">
        <w:rPr>
          <w:rFonts w:ascii="Arial" w:hAnsi="Arial" w:cs="Arial"/>
        </w:rPr>
        <w:t xml:space="preserve">Art. 19 Abs. 5 </w:t>
      </w:r>
      <w:r w:rsidR="00145D00">
        <w:rPr>
          <w:rFonts w:ascii="Arial" w:hAnsi="Arial" w:cs="Arial"/>
        </w:rPr>
        <w:t xml:space="preserve">SAG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51D846BB"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881418">
        <w:rPr>
          <w:rFonts w:ascii="Arial" w:hAnsi="Arial" w:cs="Arial"/>
          <w:i/>
          <w:sz w:val="20"/>
          <w:szCs w:val="20"/>
          <w:highlight w:val="lightGray"/>
        </w:rPr>
        <w:t>2</w:t>
      </w:r>
      <w:r w:rsidR="00145D00">
        <w:rPr>
          <w:rFonts w:ascii="Arial" w:hAnsi="Arial" w:cs="Arial"/>
          <w:i/>
          <w:sz w:val="20"/>
          <w:szCs w:val="20"/>
          <w:highlight w:val="lightGray"/>
        </w:rPr>
        <w:t>4</w:t>
      </w:r>
      <w:r w:rsidRPr="00897AEF">
        <w:rPr>
          <w:rFonts w:ascii="Arial" w:hAnsi="Arial" w:cs="Arial"/>
          <w:i/>
          <w:sz w:val="20"/>
          <w:szCs w:val="20"/>
          <w:highlight w:val="lightGray"/>
        </w:rPr>
        <w:t xml:space="preserve"> anwendbar (aufsichtsrechtliche Berichterstattung für Prüfperioden beginnend am 1. Januar 20</w:t>
      </w:r>
      <w:r w:rsidR="00881418">
        <w:rPr>
          <w:rFonts w:ascii="Arial" w:hAnsi="Arial" w:cs="Arial"/>
          <w:i/>
          <w:sz w:val="20"/>
          <w:szCs w:val="20"/>
          <w:highlight w:val="lightGray"/>
        </w:rPr>
        <w:t>2</w:t>
      </w:r>
      <w:r w:rsidR="00145D00">
        <w:rPr>
          <w:rFonts w:ascii="Arial" w:hAnsi="Arial" w:cs="Arial"/>
          <w:i/>
          <w:sz w:val="20"/>
          <w:szCs w:val="20"/>
          <w:highlight w:val="lightGray"/>
        </w:rPr>
        <w:t>4</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2A9347FB" w:rsidR="0049142B" w:rsidRDefault="0049142B" w:rsidP="00C37D08">
      <w:pPr>
        <w:pStyle w:val="FINMAGliederungEbene1"/>
      </w:pPr>
      <w:bookmarkStart w:id="0" w:name="_Toc147141433"/>
      <w:r>
        <w:lastRenderedPageBreak/>
        <w:t xml:space="preserve">Rahmenbedingungen der </w:t>
      </w:r>
      <w:r w:rsidR="00006719">
        <w:t>P</w:t>
      </w:r>
      <w:r>
        <w:t>rüfung</w:t>
      </w:r>
      <w:bookmarkEnd w:id="0"/>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C37D08">
      <w:pPr>
        <w:pStyle w:val="Listenabsatz"/>
        <w:numPr>
          <w:ilvl w:val="0"/>
          <w:numId w:val="4"/>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C37D08">
      <w:pPr>
        <w:pStyle w:val="Listenabsatz"/>
        <w:numPr>
          <w:ilvl w:val="0"/>
          <w:numId w:val="4"/>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5D8356B4" w:rsidR="00394320" w:rsidRPr="00CB3EE6" w:rsidRDefault="00394320" w:rsidP="00C37D08">
      <w:pPr>
        <w:pStyle w:val="Listenabsatz"/>
        <w:numPr>
          <w:ilvl w:val="0"/>
          <w:numId w:val="4"/>
        </w:numPr>
        <w:jc w:val="both"/>
        <w:rPr>
          <w:rFonts w:cs="Arial"/>
          <w:szCs w:val="20"/>
          <w:highlight w:val="lightGray"/>
        </w:rPr>
      </w:pPr>
      <w:r w:rsidRPr="00CB3EE6">
        <w:rPr>
          <w:rFonts w:cs="Arial"/>
          <w:szCs w:val="20"/>
          <w:highlight w:val="lightGray"/>
        </w:rPr>
        <w:t xml:space="preserve">Auflistung der bei der Prüfung wesentlich eingesetzten Personen inklusive Angabe der Hierarchie- bzw. Funktionsstufe (z.B. Partner, Manager, eingesetzte Spezialisten in den Bereichen </w:t>
      </w:r>
      <w:r w:rsidR="00082FD4">
        <w:rPr>
          <w:rFonts w:cs="Arial"/>
          <w:szCs w:val="20"/>
          <w:highlight w:val="lightGray"/>
        </w:rPr>
        <w:t xml:space="preserve">Sanierung, Abwicklung, Risk, </w:t>
      </w:r>
      <w:r w:rsidRPr="00CB3EE6">
        <w:rPr>
          <w:rFonts w:cs="Arial"/>
          <w:szCs w:val="20"/>
          <w:highlight w:val="lightGray"/>
        </w:rPr>
        <w:t>Recht, Steuern, IT usw.)</w:t>
      </w:r>
    </w:p>
    <w:p w14:paraId="2A5DD52C" w14:textId="77777777" w:rsidR="00624857" w:rsidRPr="00954411" w:rsidRDefault="00624857" w:rsidP="00C37D08">
      <w:pPr>
        <w:pStyle w:val="Listenabsatz"/>
        <w:numPr>
          <w:ilvl w:val="0"/>
          <w:numId w:val="4"/>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 (z.B. bei Gruppengesellschaften)</w:t>
      </w:r>
    </w:p>
    <w:p w14:paraId="6CC7C974" w14:textId="119861D8" w:rsidR="00624857" w:rsidRPr="00193A84" w:rsidRDefault="00624857" w:rsidP="00C37D08">
      <w:pPr>
        <w:pStyle w:val="Listenabsatz"/>
        <w:numPr>
          <w:ilvl w:val="0"/>
          <w:numId w:val="4"/>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 xml:space="preserve">(z.B. Abwesenheit von Entscheidungsträgern; unvollständige/qualitativ mangelhafte Dokumentation durch </w:t>
      </w:r>
      <w:r w:rsidR="00006719">
        <w:rPr>
          <w:rFonts w:cs="Arial"/>
          <w:szCs w:val="20"/>
          <w:highlight w:val="lightGray"/>
        </w:rPr>
        <w:t>das Unternehmen</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nterne Revision; Restriktionen bei den Prüfungen z.B. reduzierter Prüfungsumfang infolge  reduzierte</w:t>
      </w:r>
      <w:r w:rsidR="00493FA0">
        <w:rPr>
          <w:rFonts w:cs="Arial"/>
          <w:szCs w:val="20"/>
          <w:highlight w:val="lightGray"/>
        </w:rPr>
        <w:t>n</w:t>
      </w:r>
      <w:r w:rsidR="009464E8">
        <w:rPr>
          <w:rFonts w:cs="Arial"/>
          <w:szCs w:val="20"/>
          <w:highlight w:val="lightGray"/>
        </w:rPr>
        <w:t xml:space="preserve"> Budget</w:t>
      </w:r>
      <w:r w:rsidR="00493FA0">
        <w:rPr>
          <w:rFonts w:cs="Arial"/>
          <w:szCs w:val="20"/>
          <w:highlight w:val="lightGray"/>
        </w:rPr>
        <w:t>s</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77777777" w:rsidR="00624857" w:rsidRDefault="00624857" w:rsidP="00C37D08">
      <w:pPr>
        <w:pStyle w:val="Listenabsatz"/>
        <w:numPr>
          <w:ilvl w:val="0"/>
          <w:numId w:val="4"/>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 (gemäss Art. 11 Abs. 2f BankG)</w:t>
      </w:r>
    </w:p>
    <w:p w14:paraId="576A2748" w14:textId="79F888F0" w:rsidR="00433F12" w:rsidRPr="00193A84" w:rsidRDefault="00433F12" w:rsidP="00C37D08">
      <w:pPr>
        <w:pStyle w:val="Listenabsatz"/>
        <w:numPr>
          <w:ilvl w:val="0"/>
          <w:numId w:val="4"/>
        </w:numPr>
        <w:jc w:val="both"/>
        <w:rPr>
          <w:rFonts w:cs="Arial"/>
          <w:szCs w:val="20"/>
          <w:highlight w:val="lightGray"/>
        </w:rPr>
      </w:pPr>
      <w:r>
        <w:rPr>
          <w:rFonts w:cs="Arial"/>
          <w:szCs w:val="20"/>
          <w:highlight w:val="lightGray"/>
        </w:rPr>
        <w:t xml:space="preserve">Bestätigung der Unabhängigkeit </w:t>
      </w:r>
      <w:r w:rsidR="00AA1A44">
        <w:rPr>
          <w:rFonts w:cs="Arial"/>
          <w:szCs w:val="20"/>
          <w:highlight w:val="lightGray"/>
        </w:rPr>
        <w:t>de</w:t>
      </w:r>
      <w:r w:rsidR="00697F22">
        <w:rPr>
          <w:rFonts w:cs="Arial"/>
          <w:szCs w:val="20"/>
          <w:highlight w:val="lightGray"/>
        </w:rPr>
        <w:t xml:space="preserve">r Wirtschaftsprüfungsgesellschaft/Wirtschaftsprüfer (im Folgenden: «Wirtschaftsprüfer») </w:t>
      </w:r>
      <w:r>
        <w:rPr>
          <w:rFonts w:cs="Arial"/>
          <w:szCs w:val="20"/>
          <w:highlight w:val="lightGray"/>
        </w:rPr>
        <w:t xml:space="preserve">gemäss Art. 37 Abs. 4 BankG. </w:t>
      </w:r>
    </w:p>
    <w:p w14:paraId="1E71E840" w14:textId="77777777" w:rsidR="00193A84" w:rsidRDefault="00193A84" w:rsidP="00193A84">
      <w:pPr>
        <w:jc w:val="both"/>
      </w:pPr>
    </w:p>
    <w:p w14:paraId="12E792BB" w14:textId="58809DAF" w:rsidR="00193A84" w:rsidRDefault="00193A84" w:rsidP="00C37D08">
      <w:pPr>
        <w:pStyle w:val="FINMAGliederungEbene1"/>
      </w:pPr>
      <w:bookmarkStart w:id="1" w:name="_Toc147141434"/>
      <w:r>
        <w:t>Weitere Mandate de</w:t>
      </w:r>
      <w:r w:rsidR="005D2709">
        <w:t xml:space="preserve">s </w:t>
      </w:r>
      <w:r w:rsidR="00697F22">
        <w:t>Wirtschaftsprüfers</w:t>
      </w:r>
      <w:r w:rsidR="005D2709">
        <w:t xml:space="preserve"> </w:t>
      </w:r>
      <w:r>
        <w:t>bei</w:t>
      </w:r>
      <w:r w:rsidR="00006719">
        <w:t>m geprüften Unternehmen</w:t>
      </w:r>
      <w:bookmarkEnd w:id="1"/>
      <w:r w:rsidR="004F737B">
        <w:t xml:space="preserve"> </w:t>
      </w:r>
    </w:p>
    <w:p w14:paraId="58F4BB3E" w14:textId="77777777" w:rsidR="004F737B" w:rsidRDefault="004F737B" w:rsidP="004F737B">
      <w:pPr>
        <w:pStyle w:val="Listenabsatz"/>
        <w:ind w:left="360"/>
        <w:jc w:val="both"/>
      </w:pPr>
    </w:p>
    <w:p w14:paraId="3FC012EA" w14:textId="13E3EC40" w:rsidR="00193A84" w:rsidRPr="006819F9" w:rsidRDefault="00405C5C" w:rsidP="00193A84">
      <w:pPr>
        <w:jc w:val="both"/>
        <w:rPr>
          <w:rFonts w:ascii="Arial" w:hAnsi="Arial" w:cs="Arial"/>
          <w:i/>
          <w:sz w:val="20"/>
          <w:szCs w:val="20"/>
          <w:highlight w:val="lightGray"/>
        </w:rPr>
      </w:pP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00193A84" w:rsidRPr="00193A84">
        <w:rPr>
          <w:rFonts w:ascii="Arial" w:hAnsi="Arial" w:cs="Arial"/>
          <w:i/>
          <w:sz w:val="20"/>
          <w:szCs w:val="20"/>
          <w:highlight w:val="lightGray"/>
        </w:rPr>
        <w:t xml:space="preserv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00193A84"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00193A84" w:rsidRPr="00193A84">
        <w:rPr>
          <w:rFonts w:ascii="Arial" w:hAnsi="Arial" w:cs="Arial"/>
          <w:i/>
          <w:sz w:val="20"/>
          <w:szCs w:val="20"/>
          <w:highlight w:val="lightGray"/>
        </w:rPr>
        <w:t xml:space="preserve">bei </w:t>
      </w:r>
      <w:r w:rsidR="00006719">
        <w:rPr>
          <w:rFonts w:ascii="Arial" w:hAnsi="Arial" w:cs="Arial"/>
          <w:i/>
          <w:sz w:val="20"/>
          <w:szCs w:val="20"/>
          <w:highlight w:val="lightGray"/>
        </w:rPr>
        <w:t xml:space="preserve">dem Unternehmen </w:t>
      </w:r>
      <w:r w:rsidR="000C756C">
        <w:rPr>
          <w:rFonts w:ascii="Arial" w:hAnsi="Arial" w:cs="Arial"/>
          <w:i/>
          <w:sz w:val="20"/>
          <w:szCs w:val="20"/>
          <w:highlight w:val="lightGray"/>
        </w:rPr>
        <w:t xml:space="preserve">sowie bei Gruppengesellschaften, welche Teil des </w:t>
      </w:r>
      <w:r w:rsidR="00006719">
        <w:rPr>
          <w:rFonts w:ascii="Arial" w:hAnsi="Arial" w:cs="Arial"/>
          <w:i/>
          <w:sz w:val="20"/>
          <w:szCs w:val="20"/>
          <w:highlight w:val="lightGray"/>
        </w:rPr>
        <w:t xml:space="preserve">aufsichtlichen </w:t>
      </w:r>
      <w:r w:rsidR="000C756C">
        <w:rPr>
          <w:rFonts w:ascii="Arial" w:hAnsi="Arial" w:cs="Arial"/>
          <w:i/>
          <w:sz w:val="20"/>
          <w:szCs w:val="20"/>
          <w:highlight w:val="lightGray"/>
        </w:rPr>
        <w:t>Konsolidierungskreises sind, auf. Diesbezüglich sind die Art und der Umfang der Mandate zu beschreiben.</w:t>
      </w:r>
    </w:p>
    <w:p w14:paraId="46A2693C" w14:textId="77777777" w:rsidR="00885CE4" w:rsidRDefault="00885CE4" w:rsidP="00CB3EE6">
      <w:pPr>
        <w:pStyle w:val="Listenabsatz"/>
        <w:ind w:left="360"/>
        <w:jc w:val="both"/>
      </w:pPr>
    </w:p>
    <w:p w14:paraId="5FABEE8C" w14:textId="2FAB1156" w:rsidR="00193A84" w:rsidRDefault="00193A84" w:rsidP="00C37D08">
      <w:pPr>
        <w:pStyle w:val="FINMAGliederungEbene1"/>
      </w:pPr>
      <w:bookmarkStart w:id="2" w:name="_Toc147141435"/>
      <w:r>
        <w:t>Zusammenfassung der Prüfresultate</w:t>
      </w:r>
      <w:bookmarkEnd w:id="2"/>
    </w:p>
    <w:p w14:paraId="61EB6333" w14:textId="77777777" w:rsidR="00193A84" w:rsidRPr="00193A84" w:rsidRDefault="00193A84" w:rsidP="00193A84">
      <w:pPr>
        <w:jc w:val="both"/>
        <w:rPr>
          <w:rFonts w:cs="Arial"/>
          <w:szCs w:val="20"/>
        </w:rPr>
      </w:pPr>
    </w:p>
    <w:p w14:paraId="1E497C69" w14:textId="35C3EE37" w:rsidR="00885CE4" w:rsidRDefault="00177B3A" w:rsidP="004B7B6C">
      <w:pPr>
        <w:jc w:val="both"/>
        <w:rPr>
          <w:rFonts w:ascii="Arial" w:hAnsi="Arial" w:cs="Arial"/>
          <w:i/>
          <w:sz w:val="20"/>
          <w:szCs w:val="20"/>
          <w:highlight w:val="lightGray"/>
        </w:rPr>
      </w:pP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Pr="00193A84">
        <w:rPr>
          <w:rFonts w:ascii="Arial" w:hAnsi="Arial" w:cs="Arial"/>
          <w:i/>
          <w:sz w:val="20"/>
          <w:szCs w:val="20"/>
          <w:highlight w:val="lightGray"/>
        </w:rPr>
        <w:t xml:space="preserve"> </w:t>
      </w:r>
      <w:r w:rsidR="00193A84" w:rsidRPr="001469E9">
        <w:rPr>
          <w:rFonts w:ascii="Arial" w:hAnsi="Arial" w:cs="Arial"/>
          <w:i/>
          <w:sz w:val="20"/>
          <w:szCs w:val="20"/>
          <w:highlight w:val="lightGray"/>
        </w:rPr>
        <w:t>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w:t>
      </w:r>
      <w:r w:rsidR="008F1B20">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008F1B20" w:rsidRPr="00193A84">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C37D08">
      <w:pPr>
        <w:pStyle w:val="FINMAGliederungEbene2"/>
      </w:pPr>
      <w:bookmarkStart w:id="3" w:name="_Toc147141436"/>
      <w:r w:rsidRPr="00A5682B">
        <w:t>Beanstandungen</w:t>
      </w:r>
      <w:bookmarkEnd w:id="3"/>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C37D08">
      <w:pPr>
        <w:pStyle w:val="FINMAGliederungEbene2"/>
      </w:pPr>
      <w:bookmarkStart w:id="4" w:name="_Toc147141437"/>
      <w:r w:rsidRPr="00A5682B">
        <w:t>Empfehlungen</w:t>
      </w:r>
      <w:bookmarkEnd w:id="4"/>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C37D08">
      <w:pPr>
        <w:pStyle w:val="FINMAGliederungEbene2"/>
      </w:pPr>
      <w:bookmarkStart w:id="5" w:name="_Toc147141438"/>
      <w:r w:rsidRPr="00A5682B">
        <w:t>Beanstandungen</w:t>
      </w:r>
      <w:r>
        <w:t xml:space="preserve"> des Vorjahres</w:t>
      </w:r>
      <w:bookmarkEnd w:id="5"/>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C37D08">
      <w:pPr>
        <w:pStyle w:val="FINMAGliederungEbene2"/>
      </w:pPr>
      <w:bookmarkStart w:id="6" w:name="_Toc147141439"/>
      <w:r>
        <w:t>Empfehlungen des Vorjahres</w:t>
      </w:r>
      <w:bookmarkEnd w:id="6"/>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4835A560" w:rsidR="00885CE4" w:rsidRPr="00C44852" w:rsidRDefault="00A30784" w:rsidP="00C37D08">
      <w:pPr>
        <w:pStyle w:val="FINMAGliederungEbene2"/>
      </w:pPr>
      <w:bookmarkStart w:id="7" w:name="_Toc147141440"/>
      <w:r w:rsidRPr="00C44852">
        <w:t xml:space="preserve">Bestätigung zu </w:t>
      </w:r>
      <w:r w:rsidR="00885CE4" w:rsidRPr="00C44852">
        <w:t>Vorgaben der FMA</w:t>
      </w:r>
      <w:r w:rsidR="00ED4E22">
        <w:t xml:space="preserve"> (Abwicklungsfähigkeit)</w:t>
      </w:r>
      <w:bookmarkEnd w:id="7"/>
    </w:p>
    <w:p w14:paraId="56FFE960" w14:textId="77777777" w:rsidR="00885CE4" w:rsidRPr="00C44852" w:rsidRDefault="00885CE4" w:rsidP="00CB3EE6">
      <w:pPr>
        <w:jc w:val="both"/>
      </w:pPr>
    </w:p>
    <w:p w14:paraId="32A8F413" w14:textId="7E8CF3D8" w:rsidR="00885CE4" w:rsidRPr="00CB3EE6" w:rsidRDefault="008F1B20" w:rsidP="00CB3EE6">
      <w:pPr>
        <w:jc w:val="both"/>
        <w:rPr>
          <w:rFonts w:cs="Arial"/>
          <w:i/>
          <w:szCs w:val="20"/>
        </w:rPr>
      </w:pP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Pr="00193A84">
        <w:rPr>
          <w:rFonts w:ascii="Arial" w:hAnsi="Arial" w:cs="Arial"/>
          <w:i/>
          <w:sz w:val="20"/>
          <w:szCs w:val="20"/>
          <w:highlight w:val="lightGray"/>
        </w:rPr>
        <w:t xml:space="preserve"> </w:t>
      </w:r>
      <w:r w:rsidR="00633761" w:rsidRPr="00CB3EE6">
        <w:rPr>
          <w:rFonts w:ascii="Arial" w:hAnsi="Arial" w:cs="Arial"/>
          <w:i/>
          <w:sz w:val="20"/>
          <w:szCs w:val="20"/>
          <w:highlight w:val="lightGray"/>
        </w:rPr>
        <w:t>bestätigt</w:t>
      </w:r>
      <w:r w:rsidR="004B7B6C"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004B7B6C"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004B7B6C"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004B7B6C" w:rsidRPr="00C44852">
        <w:rPr>
          <w:rFonts w:ascii="Arial" w:hAnsi="Arial" w:cs="Arial"/>
          <w:i/>
          <w:sz w:val="20"/>
          <w:szCs w:val="20"/>
          <w:highlight w:val="lightGray"/>
        </w:rPr>
        <w:t>,</w:t>
      </w:r>
      <w:r w:rsidR="004B7B6C"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004B7B6C"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w:t>
      </w:r>
      <w:r w:rsidR="00006719">
        <w:rPr>
          <w:rFonts w:ascii="Arial" w:hAnsi="Arial" w:cs="Arial"/>
          <w:i/>
          <w:sz w:val="20"/>
          <w:szCs w:val="20"/>
          <w:highlight w:val="lightGray"/>
        </w:rPr>
        <w:t>das zu prüfende Unternehmen</w:t>
      </w:r>
      <w:r w:rsidR="004B7B6C" w:rsidRPr="00C44852">
        <w:rPr>
          <w:rFonts w:ascii="Arial" w:hAnsi="Arial" w:cs="Arial"/>
          <w:i/>
          <w:sz w:val="20"/>
          <w:szCs w:val="20"/>
          <w:highlight w:val="lightGray"/>
        </w:rPr>
        <w:t xml:space="preserve"> </w:t>
      </w:r>
      <w:r w:rsidR="00272AAA">
        <w:rPr>
          <w:rFonts w:ascii="Arial" w:hAnsi="Arial" w:cs="Arial"/>
          <w:i/>
          <w:sz w:val="20"/>
          <w:szCs w:val="20"/>
          <w:highlight w:val="lightGray"/>
        </w:rPr>
        <w:t xml:space="preserve">im Zusammenhang mit dessen Abwicklungsfähigkeit </w:t>
      </w:r>
      <w:r w:rsidR="00A4767C" w:rsidRPr="00CB3EE6">
        <w:rPr>
          <w:rFonts w:ascii="Arial" w:hAnsi="Arial" w:cs="Arial"/>
          <w:i/>
          <w:sz w:val="20"/>
          <w:szCs w:val="20"/>
          <w:highlight w:val="lightGray"/>
        </w:rPr>
        <w:t>gelten</w:t>
      </w:r>
      <w:r w:rsidR="004B7B6C"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3F017B0" w:rsidR="00004C8E" w:rsidRDefault="00004C8E" w:rsidP="00C37D08">
      <w:pPr>
        <w:pStyle w:val="FINMAGliederungEbene2"/>
      </w:pPr>
      <w:bookmarkStart w:id="8" w:name="_Toc147141441"/>
      <w:r>
        <w:t xml:space="preserve">Wesentliche Feststellungen </w:t>
      </w:r>
      <w:r w:rsidR="00892678">
        <w:t>der</w:t>
      </w:r>
      <w:r>
        <w:t xml:space="preserve"> Interne</w:t>
      </w:r>
      <w:r w:rsidR="000C092F">
        <w:t>n</w:t>
      </w:r>
      <w:r>
        <w:t xml:space="preserve"> Revision</w:t>
      </w:r>
      <w:r w:rsidR="00ED4E22">
        <w:t xml:space="preserve"> (Abwicklungsfähigkeit)</w:t>
      </w:r>
      <w:bookmarkEnd w:id="8"/>
    </w:p>
    <w:p w14:paraId="09AE5DDB" w14:textId="77777777" w:rsidR="00004C8E" w:rsidRDefault="00004C8E" w:rsidP="00CB3EE6">
      <w:pPr>
        <w:pStyle w:val="Listenabsatz"/>
        <w:ind w:left="0"/>
        <w:jc w:val="both"/>
        <w:rPr>
          <w:rFonts w:cs="Arial"/>
          <w:i/>
          <w:szCs w:val="20"/>
          <w:highlight w:val="lightGray"/>
        </w:rPr>
      </w:pPr>
    </w:p>
    <w:p w14:paraId="01535382" w14:textId="05010E46" w:rsidR="00004C8E" w:rsidRPr="00004C8E" w:rsidRDefault="008F1B20" w:rsidP="00CB3EE6">
      <w:pPr>
        <w:pStyle w:val="Listenabsatz"/>
        <w:ind w:left="0"/>
        <w:jc w:val="both"/>
        <w:rPr>
          <w:rFonts w:cs="Arial"/>
          <w:i/>
          <w:szCs w:val="20"/>
          <w:highlight w:val="lightGray"/>
        </w:rPr>
      </w:pPr>
      <w:r>
        <w:rPr>
          <w:rFonts w:cs="Arial"/>
          <w:i/>
          <w:szCs w:val="20"/>
          <w:highlight w:val="lightGray"/>
        </w:rPr>
        <w:t xml:space="preserve">Der </w:t>
      </w:r>
      <w:r w:rsidR="00697F22" w:rsidRPr="00697F22">
        <w:rPr>
          <w:rFonts w:cs="Arial"/>
          <w:i/>
          <w:szCs w:val="20"/>
          <w:highlight w:val="lightGray"/>
        </w:rPr>
        <w:t>Wirtschaftsprüfer</w:t>
      </w:r>
      <w:r w:rsidRPr="00193A84">
        <w:rPr>
          <w:rFonts w:cs="Arial"/>
          <w:i/>
          <w:szCs w:val="20"/>
          <w:highlight w:val="lightGray"/>
        </w:rPr>
        <w:t xml:space="preserve"> </w:t>
      </w:r>
      <w:r w:rsidR="00004C8E" w:rsidRPr="00004C8E">
        <w:rPr>
          <w:rFonts w:cs="Arial"/>
          <w:i/>
          <w:szCs w:val="20"/>
          <w:highlight w:val="lightGray"/>
        </w:rPr>
        <w:t>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00004C8E" w:rsidRPr="00004C8E">
        <w:rPr>
          <w:rFonts w:cs="Arial"/>
          <w:i/>
          <w:szCs w:val="20"/>
          <w:highlight w:val="lightGray"/>
        </w:rPr>
        <w:t xml:space="preserve">durch </w:t>
      </w:r>
      <w:r w:rsidR="00004C8E">
        <w:rPr>
          <w:rFonts w:cs="Arial"/>
          <w:i/>
          <w:szCs w:val="20"/>
          <w:highlight w:val="lightGray"/>
        </w:rPr>
        <w:t xml:space="preserve">die </w:t>
      </w:r>
      <w:r w:rsidR="0005430B">
        <w:rPr>
          <w:rFonts w:cs="Arial"/>
          <w:i/>
          <w:szCs w:val="20"/>
          <w:highlight w:val="lightGray"/>
        </w:rPr>
        <w:t>I</w:t>
      </w:r>
      <w:r w:rsidR="00004C8E">
        <w:rPr>
          <w:rFonts w:cs="Arial"/>
          <w:i/>
          <w:szCs w:val="20"/>
          <w:highlight w:val="lightGray"/>
        </w:rPr>
        <w:t>nterne Revision.</w:t>
      </w:r>
      <w:r w:rsidR="00004C8E" w:rsidRPr="00004C8E">
        <w:rPr>
          <w:rFonts w:cs="Arial"/>
          <w:i/>
          <w:szCs w:val="20"/>
          <w:highlight w:val="lightGray"/>
        </w:rPr>
        <w:t xml:space="preserve"> </w:t>
      </w:r>
      <w:r>
        <w:rPr>
          <w:rFonts w:cs="Arial"/>
          <w:i/>
          <w:szCs w:val="20"/>
          <w:highlight w:val="lightGray"/>
        </w:rPr>
        <w:t xml:space="preserve">Der </w:t>
      </w:r>
      <w:r w:rsidR="00697F22" w:rsidRPr="00697F22">
        <w:rPr>
          <w:rFonts w:cs="Arial"/>
          <w:i/>
          <w:szCs w:val="20"/>
          <w:highlight w:val="lightGray"/>
        </w:rPr>
        <w:t>Wirtschaftsprüfer</w:t>
      </w:r>
      <w:r w:rsidRPr="00193A84">
        <w:rPr>
          <w:rFonts w:cs="Arial"/>
          <w:i/>
          <w:szCs w:val="20"/>
          <w:highlight w:val="lightGray"/>
        </w:rPr>
        <w:t xml:space="preserve"> </w:t>
      </w:r>
      <w:r w:rsidR="00004C8E" w:rsidRPr="00004C8E">
        <w:rPr>
          <w:rFonts w:cs="Arial"/>
          <w:i/>
          <w:szCs w:val="20"/>
          <w:highlight w:val="lightGray"/>
        </w:rPr>
        <w:t>hat die Feststellungen</w:t>
      </w:r>
      <w:r w:rsidR="00CD5C34">
        <w:rPr>
          <w:rFonts w:cs="Arial"/>
          <w:i/>
          <w:szCs w:val="20"/>
          <w:highlight w:val="lightGray"/>
        </w:rPr>
        <w:t xml:space="preserve"> </w:t>
      </w:r>
      <w:r w:rsidR="00004C8E" w:rsidRPr="00004C8E">
        <w:rPr>
          <w:rFonts w:cs="Arial"/>
          <w:i/>
          <w:szCs w:val="20"/>
          <w:highlight w:val="lightGray"/>
        </w:rPr>
        <w:t xml:space="preserve">sowie deren Auswirkungen auf </w:t>
      </w:r>
      <w:r w:rsidR="00272AAA">
        <w:rPr>
          <w:rFonts w:cs="Arial"/>
          <w:i/>
          <w:szCs w:val="20"/>
          <w:highlight w:val="lightGray"/>
        </w:rPr>
        <w:t>die Abwicklungsfähigkeit</w:t>
      </w:r>
      <w:r w:rsidR="00004C8E" w:rsidRPr="00004C8E">
        <w:rPr>
          <w:rFonts w:cs="Arial"/>
          <w:i/>
          <w:szCs w:val="20"/>
          <w:highlight w:val="lightGray"/>
        </w:rPr>
        <w:t xml:space="preserve"> angemessen zu würdigen. </w:t>
      </w:r>
      <w:r>
        <w:rPr>
          <w:rFonts w:cs="Arial"/>
          <w:i/>
          <w:szCs w:val="20"/>
          <w:highlight w:val="lightGray"/>
        </w:rPr>
        <w:t xml:space="preserve">Der </w:t>
      </w:r>
      <w:r w:rsidR="00697F22" w:rsidRPr="00697F22">
        <w:rPr>
          <w:rFonts w:cs="Arial"/>
          <w:i/>
          <w:szCs w:val="20"/>
          <w:highlight w:val="lightGray"/>
        </w:rPr>
        <w:t>Wirtschaftsprüfer</w:t>
      </w:r>
      <w:r w:rsidRPr="00193A84">
        <w:rPr>
          <w:rFonts w:cs="Arial"/>
          <w:i/>
          <w:szCs w:val="20"/>
          <w:highlight w:val="lightGray"/>
        </w:rPr>
        <w:t xml:space="preserve"> </w:t>
      </w:r>
      <w:r w:rsidR="00916455">
        <w:rPr>
          <w:rFonts w:cs="Arial"/>
          <w:i/>
          <w:szCs w:val="20"/>
          <w:highlight w:val="lightGray"/>
        </w:rPr>
        <w:t xml:space="preserve">hat an dieser Stelle auch eine Auflistung sämtlicher Prüfthemen der Internen Revision im Berichtszeitraum darzustellen. </w:t>
      </w:r>
      <w:r w:rsidR="00004C8E"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07FFD411" w:rsidR="004B7B6C" w:rsidRPr="00CB3EE6" w:rsidRDefault="00AB7758" w:rsidP="00C37D08">
      <w:pPr>
        <w:pStyle w:val="FINMAGliederungEbene2"/>
      </w:pPr>
      <w:bookmarkStart w:id="9" w:name="_Toc147141442"/>
      <w:r>
        <w:t xml:space="preserve">Wesentliche </w:t>
      </w:r>
      <w:r w:rsidR="00F1444D" w:rsidRPr="00F1444D">
        <w:t xml:space="preserve">Feststellungen </w:t>
      </w:r>
      <w:r w:rsidR="00F1444D">
        <w:t xml:space="preserve">durch </w:t>
      </w:r>
      <w:r w:rsidR="00F1444D" w:rsidRPr="00F1444D">
        <w:t>Dritte</w:t>
      </w:r>
      <w:r w:rsidR="00ED4E22">
        <w:t xml:space="preserve"> (Abwicklungsfähigkeit)</w:t>
      </w:r>
      <w:bookmarkEnd w:id="9"/>
    </w:p>
    <w:p w14:paraId="1FF2B41E" w14:textId="77777777" w:rsidR="004B7B6C" w:rsidRDefault="004B7B6C" w:rsidP="00CB3EE6">
      <w:pPr>
        <w:jc w:val="both"/>
      </w:pPr>
    </w:p>
    <w:p w14:paraId="487BEC52" w14:textId="73F2F7B0" w:rsidR="00306B11" w:rsidRPr="00F66FBC" w:rsidRDefault="00B87775" w:rsidP="00501D7B">
      <w:pPr>
        <w:pStyle w:val="Listenabsatz"/>
        <w:ind w:left="0"/>
        <w:rPr>
          <w:highlight w:val="lightGray"/>
        </w:rPr>
      </w:pPr>
      <w:r w:rsidRPr="00501D7B">
        <w:rPr>
          <w:i/>
          <w:highlight w:val="lightGray"/>
        </w:rPr>
        <w:t xml:space="preserve">Der </w:t>
      </w:r>
      <w:r w:rsidR="00697F22" w:rsidRPr="00697F22">
        <w:rPr>
          <w:rFonts w:cs="Arial"/>
          <w:i/>
          <w:szCs w:val="20"/>
          <w:highlight w:val="lightGray"/>
        </w:rPr>
        <w:t>Wirtschaftsprüfer</w:t>
      </w:r>
      <w:r w:rsidRPr="00501D7B">
        <w:rPr>
          <w:i/>
          <w:highlight w:val="lightGray"/>
        </w:rPr>
        <w:t xml:space="preserve"> </w:t>
      </w:r>
      <w:r w:rsidR="00633761" w:rsidRPr="00501D7B">
        <w:rPr>
          <w:i/>
          <w:highlight w:val="lightGray"/>
        </w:rPr>
        <w:t xml:space="preserve">beschreibt an dieser Stelle allfällige </w:t>
      </w:r>
      <w:r w:rsidR="00AB7758" w:rsidRPr="00501D7B">
        <w:rPr>
          <w:i/>
          <w:highlight w:val="lightGray"/>
        </w:rPr>
        <w:t>wesentliche</w:t>
      </w:r>
      <w:r w:rsidR="00912129" w:rsidRPr="00501D7B">
        <w:rPr>
          <w:i/>
          <w:highlight w:val="lightGray"/>
        </w:rPr>
        <w:t xml:space="preserve">, </w:t>
      </w:r>
      <w:r w:rsidR="00ED4E22" w:rsidRPr="00501D7B">
        <w:rPr>
          <w:i/>
          <w:highlight w:val="lightGray"/>
        </w:rPr>
        <w:t>in Bezug auf die Abwicklungsfähigkeit</w:t>
      </w:r>
      <w:r w:rsidR="00912129" w:rsidRPr="00501D7B">
        <w:rPr>
          <w:i/>
          <w:highlight w:val="lightGray"/>
        </w:rPr>
        <w:t xml:space="preserve"> relevante</w:t>
      </w:r>
      <w:r w:rsidR="00AB7758" w:rsidRPr="00501D7B">
        <w:rPr>
          <w:i/>
          <w:highlight w:val="lightGray"/>
        </w:rPr>
        <w:t xml:space="preserve"> </w:t>
      </w:r>
      <w:r w:rsidR="00633761" w:rsidRPr="00501D7B">
        <w:rPr>
          <w:i/>
          <w:highlight w:val="lightGray"/>
        </w:rPr>
        <w:t xml:space="preserve">Feststellungen </w:t>
      </w:r>
      <w:r w:rsidR="00F1444D" w:rsidRPr="00501D7B">
        <w:rPr>
          <w:i/>
          <w:highlight w:val="lightGray"/>
        </w:rPr>
        <w:t>durch</w:t>
      </w:r>
      <w:r w:rsidR="00633761" w:rsidRPr="00501D7B">
        <w:rPr>
          <w:i/>
          <w:highlight w:val="lightGray"/>
        </w:rPr>
        <w:t xml:space="preserve"> Dritte (</w:t>
      </w:r>
      <w:r w:rsidR="00EA0D88" w:rsidRPr="00501D7B">
        <w:rPr>
          <w:i/>
          <w:highlight w:val="lightGray"/>
        </w:rPr>
        <w:t>z</w:t>
      </w:r>
      <w:r w:rsidR="00776C82" w:rsidRPr="00501D7B">
        <w:rPr>
          <w:i/>
          <w:highlight w:val="lightGray"/>
        </w:rPr>
        <w:t>.</w:t>
      </w:r>
      <w:r w:rsidR="00EA0D88" w:rsidRPr="00501D7B">
        <w:rPr>
          <w:i/>
          <w:highlight w:val="lightGray"/>
        </w:rPr>
        <w:t>B</w:t>
      </w:r>
      <w:r w:rsidR="00776C82" w:rsidRPr="00501D7B">
        <w:rPr>
          <w:i/>
          <w:highlight w:val="lightGray"/>
        </w:rPr>
        <w:t>.</w:t>
      </w:r>
      <w:r w:rsidR="00EA0D88" w:rsidRPr="00501D7B">
        <w:rPr>
          <w:i/>
          <w:highlight w:val="lightGray"/>
        </w:rPr>
        <w:t xml:space="preserve"> </w:t>
      </w:r>
      <w:r w:rsidR="004D604F" w:rsidRPr="00501D7B">
        <w:rPr>
          <w:i/>
          <w:highlight w:val="lightGray"/>
        </w:rPr>
        <w:t xml:space="preserve">die für die konsolidierte Aufsicht </w:t>
      </w:r>
      <w:r w:rsidR="00ED4E22" w:rsidRPr="00501D7B">
        <w:rPr>
          <w:i/>
          <w:highlight w:val="lightGray"/>
        </w:rPr>
        <w:t xml:space="preserve">oder Abwicklung </w:t>
      </w:r>
      <w:r w:rsidR="004D604F" w:rsidRPr="00501D7B">
        <w:rPr>
          <w:i/>
          <w:highlight w:val="lightGray"/>
        </w:rPr>
        <w:t>zuständige</w:t>
      </w:r>
      <w:r w:rsidR="005D2709">
        <w:rPr>
          <w:i/>
          <w:highlight w:val="lightGray"/>
        </w:rPr>
        <w:t xml:space="preserve"> </w:t>
      </w:r>
      <w:r w:rsidR="004D604F" w:rsidRPr="00501D7B">
        <w:rPr>
          <w:i/>
          <w:highlight w:val="lightGray"/>
        </w:rPr>
        <w:t xml:space="preserve">ausländische </w:t>
      </w:r>
      <w:r w:rsidR="00633761" w:rsidRPr="00501D7B">
        <w:rPr>
          <w:i/>
          <w:highlight w:val="lightGray"/>
        </w:rPr>
        <w:t>B</w:t>
      </w:r>
      <w:r w:rsidR="00EA0D88" w:rsidRPr="00501D7B">
        <w:rPr>
          <w:i/>
          <w:highlight w:val="lightGray"/>
        </w:rPr>
        <w:t>ehörde</w:t>
      </w:r>
      <w:r w:rsidR="00ED4E22" w:rsidRPr="00501D7B">
        <w:rPr>
          <w:i/>
          <w:highlight w:val="lightGray"/>
        </w:rPr>
        <w:t>, Einlagensicherung</w:t>
      </w:r>
      <w:r w:rsidR="007242D9" w:rsidRPr="00501D7B">
        <w:rPr>
          <w:i/>
          <w:highlight w:val="lightGray"/>
        </w:rPr>
        <w:t xml:space="preserve"> und Anlegerentschädigung,</w:t>
      </w:r>
      <w:r w:rsidR="00EA0D88" w:rsidRPr="00501D7B">
        <w:rPr>
          <w:i/>
          <w:highlight w:val="lightGray"/>
        </w:rPr>
        <w:t xml:space="preserve"> Ratingagenturen</w:t>
      </w:r>
      <w:r w:rsidR="00ED4E22" w:rsidRPr="00501D7B">
        <w:rPr>
          <w:i/>
          <w:highlight w:val="lightGray"/>
        </w:rPr>
        <w:t>,</w:t>
      </w:r>
      <w:r w:rsidR="00EA0D88" w:rsidRPr="00501D7B">
        <w:rPr>
          <w:i/>
          <w:highlight w:val="lightGray"/>
        </w:rPr>
        <w:t xml:space="preserve"> Revisionsstellen)</w:t>
      </w:r>
      <w:r w:rsidR="00AB7758" w:rsidRPr="00501D7B">
        <w:rPr>
          <w:i/>
          <w:highlight w:val="lightGray"/>
        </w:rPr>
        <w:t>,</w:t>
      </w:r>
      <w:r w:rsidR="001A1A8F" w:rsidRPr="00501D7B">
        <w:rPr>
          <w:i/>
          <w:highlight w:val="lightGray"/>
        </w:rPr>
        <w:t xml:space="preserve"> zu denen sie innerhalb oder ausserhalb der Prüfungstätigkeit Kenntnis erlangt hat. </w:t>
      </w:r>
      <w:r w:rsidRPr="00501D7B">
        <w:rPr>
          <w:i/>
          <w:highlight w:val="lightGray"/>
        </w:rPr>
        <w:t xml:space="preserve">Der </w:t>
      </w:r>
      <w:r w:rsidR="00697F22" w:rsidRPr="00697F22">
        <w:rPr>
          <w:rFonts w:cs="Arial"/>
          <w:i/>
          <w:szCs w:val="20"/>
          <w:highlight w:val="lightGray"/>
        </w:rPr>
        <w:t>Wirtschaftsprüfer</w:t>
      </w:r>
      <w:r w:rsidRPr="00501D7B">
        <w:rPr>
          <w:i/>
          <w:highlight w:val="lightGray"/>
        </w:rPr>
        <w:t xml:space="preserve"> </w:t>
      </w:r>
      <w:r w:rsidR="001A1A8F" w:rsidRPr="00501D7B">
        <w:rPr>
          <w:i/>
          <w:highlight w:val="lightGray"/>
        </w:rPr>
        <w:t xml:space="preserve">hat die Feststellungen, sowie deren Auswirkungen auf </w:t>
      </w:r>
      <w:r w:rsidR="00ED4E22" w:rsidRPr="00501D7B">
        <w:rPr>
          <w:i/>
          <w:highlight w:val="lightGray"/>
        </w:rPr>
        <w:t>die Abwicklungsfähigkeit des Unternehmens</w:t>
      </w:r>
      <w:r w:rsidR="001A1A8F" w:rsidRPr="00501D7B">
        <w:rPr>
          <w:i/>
          <w:highlight w:val="lightGray"/>
        </w:rPr>
        <w:t xml:space="preserve"> angemessen zu würdigen. </w:t>
      </w:r>
      <w:r w:rsidR="00AB7758" w:rsidRPr="00501D7B">
        <w:rPr>
          <w:i/>
          <w:highlight w:val="lightGray"/>
        </w:rPr>
        <w:t>Sofern die Feststellungen an anderer Stelle im Bericht dargestellt w</w:t>
      </w:r>
      <w:r w:rsidR="00721507" w:rsidRPr="00501D7B">
        <w:rPr>
          <w:i/>
          <w:highlight w:val="lightGray"/>
        </w:rPr>
        <w:t>erden,</w:t>
      </w:r>
      <w:r w:rsidR="00AB7758" w:rsidRPr="00501D7B">
        <w:rPr>
          <w:i/>
          <w:highlight w:val="lightGray"/>
        </w:rPr>
        <w:t xml:space="preserve"> ist eine entsprechende Referenz ausreichend</w:t>
      </w:r>
      <w:r w:rsidR="00232727" w:rsidRPr="00501D7B">
        <w:rPr>
          <w:i/>
          <w:highlight w:val="lightGray"/>
        </w:rPr>
        <w:t>.</w:t>
      </w:r>
    </w:p>
    <w:p w14:paraId="136C96AC" w14:textId="77777777" w:rsidR="004B7B6C" w:rsidRDefault="004B7B6C" w:rsidP="00CB3EE6">
      <w:pPr>
        <w:jc w:val="both"/>
      </w:pPr>
    </w:p>
    <w:p w14:paraId="47DD01A0" w14:textId="70439DD0" w:rsidR="0041731C" w:rsidRDefault="002E3094" w:rsidP="00C37D08">
      <w:pPr>
        <w:pStyle w:val="FINMAGliederungEbene2"/>
      </w:pPr>
      <w:bookmarkStart w:id="10" w:name="_Toc147141443"/>
      <w:r>
        <w:t>Zusammenfassung zu Prüferkenntnissen sowie Gesamteinschätzung</w:t>
      </w:r>
      <w:bookmarkEnd w:id="10"/>
    </w:p>
    <w:p w14:paraId="0494395C" w14:textId="77777777" w:rsidR="002E3094" w:rsidRDefault="002E3094" w:rsidP="00CB3EE6">
      <w:pPr>
        <w:jc w:val="both"/>
      </w:pPr>
    </w:p>
    <w:p w14:paraId="144B3F23" w14:textId="4CC99A2A" w:rsidR="002E3094" w:rsidRDefault="00B87775" w:rsidP="002E3094">
      <w:pPr>
        <w:jc w:val="both"/>
        <w:rPr>
          <w:rFonts w:ascii="Arial" w:hAnsi="Arial" w:cs="Arial"/>
          <w:i/>
          <w:sz w:val="20"/>
          <w:szCs w:val="20"/>
          <w:highlight w:val="lightGray"/>
        </w:rPr>
      </w:pP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Pr="00193A84">
        <w:rPr>
          <w:rFonts w:ascii="Arial" w:hAnsi="Arial" w:cs="Arial"/>
          <w:i/>
          <w:sz w:val="20"/>
          <w:szCs w:val="20"/>
          <w:highlight w:val="lightGray"/>
        </w:rPr>
        <w:t xml:space="preserve"> </w:t>
      </w:r>
      <w:r w:rsidR="002E3094" w:rsidRPr="00515AB5">
        <w:rPr>
          <w:rFonts w:ascii="Arial" w:hAnsi="Arial" w:cs="Arial"/>
          <w:i/>
          <w:sz w:val="20"/>
          <w:szCs w:val="20"/>
          <w:highlight w:val="lightGray"/>
        </w:rPr>
        <w:t xml:space="preserve">nimmt basierend auf den Erkenntnissen aus ihren Prüfungshandlungen Stellung zur </w:t>
      </w:r>
      <w:r w:rsidR="00ED4E22">
        <w:rPr>
          <w:rFonts w:ascii="Arial" w:hAnsi="Arial" w:cs="Arial"/>
          <w:i/>
          <w:sz w:val="20"/>
          <w:szCs w:val="20"/>
          <w:highlight w:val="lightGray"/>
        </w:rPr>
        <w:t>Abwicklungsfähigkeit des Unternehmens bzw. der Abwicklungsgruppe</w:t>
      </w:r>
      <w:r w:rsidR="002E3094" w:rsidRPr="00515AB5">
        <w:rPr>
          <w:rFonts w:ascii="Arial" w:hAnsi="Arial" w:cs="Arial"/>
          <w:i/>
          <w:sz w:val="20"/>
          <w:szCs w:val="20"/>
          <w:highlight w:val="lightGray"/>
        </w:rPr>
        <w:t>.</w:t>
      </w:r>
      <w:r w:rsidR="00D140AA">
        <w:rPr>
          <w:rFonts w:ascii="Arial" w:hAnsi="Arial" w:cs="Arial"/>
          <w:i/>
          <w:sz w:val="20"/>
          <w:szCs w:val="20"/>
          <w:highlight w:val="lightGray"/>
        </w:rPr>
        <w:t xml:space="preserve"> </w:t>
      </w: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Pr="00193A84">
        <w:rPr>
          <w:rFonts w:ascii="Arial" w:hAnsi="Arial" w:cs="Arial"/>
          <w:i/>
          <w:sz w:val="20"/>
          <w:szCs w:val="20"/>
          <w:highlight w:val="lightGray"/>
        </w:rPr>
        <w:t xml:space="preserve"> </w:t>
      </w:r>
      <w:r w:rsidR="002E3094">
        <w:rPr>
          <w:rFonts w:ascii="Arial" w:hAnsi="Arial" w:cs="Arial"/>
          <w:i/>
          <w:sz w:val="20"/>
          <w:szCs w:val="20"/>
          <w:highlight w:val="lightGray"/>
        </w:rPr>
        <w:t xml:space="preserve">schlägt, falls notwendig, Massnahmen zur </w:t>
      </w:r>
      <w:r w:rsidR="00E64425">
        <w:rPr>
          <w:rFonts w:ascii="Arial" w:hAnsi="Arial" w:cs="Arial"/>
          <w:i/>
          <w:sz w:val="20"/>
          <w:szCs w:val="20"/>
          <w:highlight w:val="lightGray"/>
        </w:rPr>
        <w:t xml:space="preserve">Herstellung </w:t>
      </w:r>
      <w:r w:rsidR="002E3094">
        <w:rPr>
          <w:rFonts w:ascii="Arial" w:hAnsi="Arial" w:cs="Arial"/>
          <w:i/>
          <w:sz w:val="20"/>
          <w:szCs w:val="20"/>
          <w:highlight w:val="lightGray"/>
        </w:rPr>
        <w:t xml:space="preserve">des ordnungsgemässen Zustands </w:t>
      </w:r>
      <w:r w:rsidR="00D140AA">
        <w:rPr>
          <w:rFonts w:ascii="Arial" w:hAnsi="Arial" w:cs="Arial"/>
          <w:i/>
          <w:sz w:val="20"/>
          <w:szCs w:val="20"/>
          <w:highlight w:val="lightGray"/>
        </w:rPr>
        <w:t xml:space="preserve">bzw. zur Beseitigung von Abwicklungshindernissen </w:t>
      </w:r>
      <w:r w:rsidR="002E3094">
        <w:rPr>
          <w:rFonts w:ascii="Arial" w:hAnsi="Arial" w:cs="Arial"/>
          <w:i/>
          <w:sz w:val="20"/>
          <w:szCs w:val="20"/>
          <w:highlight w:val="lightGray"/>
        </w:rPr>
        <w:t xml:space="preserve">vor. </w:t>
      </w: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Pr="00193A84">
        <w:rPr>
          <w:rFonts w:ascii="Arial" w:hAnsi="Arial" w:cs="Arial"/>
          <w:i/>
          <w:sz w:val="20"/>
          <w:szCs w:val="20"/>
          <w:highlight w:val="lightGray"/>
        </w:rPr>
        <w:t xml:space="preserve"> </w:t>
      </w:r>
      <w:r w:rsidR="002E3094">
        <w:rPr>
          <w:rFonts w:ascii="Arial" w:hAnsi="Arial" w:cs="Arial"/>
          <w:i/>
          <w:sz w:val="20"/>
          <w:szCs w:val="20"/>
          <w:highlight w:val="lightGray"/>
        </w:rPr>
        <w:t xml:space="preserve">beurteilt, inwiefern die Beanstandungen mit Fristansetzung im Berichtsjahr die </w:t>
      </w:r>
      <w:r w:rsidR="00D140AA">
        <w:rPr>
          <w:rFonts w:ascii="Arial" w:hAnsi="Arial" w:cs="Arial"/>
          <w:i/>
          <w:sz w:val="20"/>
          <w:szCs w:val="20"/>
          <w:highlight w:val="lightGray"/>
        </w:rPr>
        <w:t>Abwicklungsfähigkeit</w:t>
      </w:r>
      <w:r w:rsidR="002E3094">
        <w:rPr>
          <w:rFonts w:ascii="Arial" w:hAnsi="Arial" w:cs="Arial"/>
          <w:i/>
          <w:sz w:val="20"/>
          <w:szCs w:val="20"/>
          <w:highlight w:val="lightGray"/>
        </w:rPr>
        <w:t xml:space="preserve"> in Frage stellen und hält fest, ob gemäss ihrer Einschätzung Massnahmen seitens der FMA notwendig sind oder nicht.</w:t>
      </w:r>
    </w:p>
    <w:p w14:paraId="25C1E2AE" w14:textId="77777777" w:rsidR="002E3094" w:rsidRDefault="002E3094" w:rsidP="002E3094">
      <w:pPr>
        <w:jc w:val="both"/>
        <w:rPr>
          <w:rFonts w:ascii="Arial" w:hAnsi="Arial" w:cs="Arial"/>
          <w:i/>
          <w:sz w:val="20"/>
          <w:szCs w:val="20"/>
          <w:highlight w:val="lightGray"/>
        </w:rPr>
      </w:pPr>
    </w:p>
    <w:p w14:paraId="1A21F332" w14:textId="50A6FE6F" w:rsidR="002E3094" w:rsidRDefault="00783943" w:rsidP="00CB3EE6">
      <w:pPr>
        <w:jc w:val="both"/>
        <w:rPr>
          <w:rFonts w:cs="Arial"/>
          <w:i/>
          <w:szCs w:val="20"/>
          <w:highlight w:val="lightGray"/>
        </w:rPr>
      </w:pPr>
      <w:r>
        <w:rPr>
          <w:rFonts w:ascii="Arial" w:hAnsi="Arial" w:cs="Arial"/>
          <w:i/>
          <w:sz w:val="20"/>
          <w:szCs w:val="20"/>
          <w:highlight w:val="lightGray"/>
        </w:rPr>
        <w:lastRenderedPageBreak/>
        <w:t xml:space="preserve">Der </w:t>
      </w:r>
      <w:r w:rsidR="00697F22" w:rsidRPr="00697F22">
        <w:rPr>
          <w:rFonts w:ascii="Arial" w:hAnsi="Arial" w:cs="Arial"/>
          <w:i/>
          <w:sz w:val="20"/>
          <w:szCs w:val="20"/>
          <w:highlight w:val="lightGray"/>
        </w:rPr>
        <w:t>Wirtschaftsprüfer</w:t>
      </w:r>
      <w:r w:rsidR="00C263C5" w:rsidDel="00C263C5">
        <w:rPr>
          <w:rFonts w:ascii="Arial" w:hAnsi="Arial" w:cs="Arial"/>
          <w:i/>
          <w:sz w:val="20"/>
          <w:szCs w:val="20"/>
          <w:highlight w:val="lightGray"/>
        </w:rPr>
        <w:t xml:space="preserve"> </w:t>
      </w:r>
      <w:r w:rsidR="002E3094">
        <w:rPr>
          <w:rFonts w:ascii="Arial" w:hAnsi="Arial" w:cs="Arial"/>
          <w:i/>
          <w:sz w:val="20"/>
          <w:szCs w:val="20"/>
          <w:highlight w:val="lightGray"/>
        </w:rPr>
        <w:t xml:space="preserve">legt </w:t>
      </w:r>
      <w:r w:rsidR="00AA54BE">
        <w:rPr>
          <w:rFonts w:ascii="Arial" w:hAnsi="Arial" w:cs="Arial"/>
          <w:i/>
          <w:sz w:val="20"/>
          <w:szCs w:val="20"/>
          <w:highlight w:val="lightGray"/>
        </w:rPr>
        <w:t>im Rahmen des</w:t>
      </w:r>
      <w:r w:rsidR="002E3094">
        <w:rPr>
          <w:rFonts w:ascii="Arial" w:hAnsi="Arial" w:cs="Arial"/>
          <w:i/>
          <w:sz w:val="20"/>
          <w:szCs w:val="20"/>
          <w:highlight w:val="lightGray"/>
        </w:rPr>
        <w:t xml:space="preserve"> Prüfurteil</w:t>
      </w:r>
      <w:r w:rsidR="00AA54BE">
        <w:rPr>
          <w:rFonts w:ascii="Arial" w:hAnsi="Arial" w:cs="Arial"/>
          <w:i/>
          <w:sz w:val="20"/>
          <w:szCs w:val="20"/>
          <w:highlight w:val="lightGray"/>
        </w:rPr>
        <w:t>s</w:t>
      </w:r>
      <w:r w:rsidR="002E3094">
        <w:rPr>
          <w:rFonts w:ascii="Arial" w:hAnsi="Arial" w:cs="Arial"/>
          <w:i/>
          <w:sz w:val="20"/>
          <w:szCs w:val="20"/>
          <w:highlight w:val="lightGray"/>
        </w:rPr>
        <w:t xml:space="preserve"> - </w:t>
      </w:r>
      <w:r w:rsidR="002E3094" w:rsidRPr="00515AB5">
        <w:rPr>
          <w:rFonts w:ascii="Arial" w:hAnsi="Arial" w:cs="Arial"/>
          <w:i/>
          <w:sz w:val="20"/>
          <w:szCs w:val="20"/>
          <w:highlight w:val="lightGray"/>
        </w:rPr>
        <w:t>basierend auf den Ergebnissen der durchgeführten Prüfungshandlungen</w:t>
      </w:r>
      <w:r w:rsidR="00AA54BE">
        <w:rPr>
          <w:rFonts w:ascii="Arial" w:hAnsi="Arial" w:cs="Arial"/>
          <w:i/>
          <w:sz w:val="20"/>
          <w:szCs w:val="20"/>
          <w:highlight w:val="lightGray"/>
        </w:rPr>
        <w:t xml:space="preserve"> –</w:t>
      </w:r>
      <w:r w:rsidR="002E3094">
        <w:rPr>
          <w:rFonts w:ascii="Arial" w:hAnsi="Arial" w:cs="Arial"/>
          <w:i/>
          <w:sz w:val="20"/>
          <w:szCs w:val="20"/>
          <w:highlight w:val="lightGray"/>
        </w:rPr>
        <w:t xml:space="preserve"> dar</w:t>
      </w:r>
      <w:r w:rsidR="00AA54BE">
        <w:rPr>
          <w:rFonts w:ascii="Arial" w:hAnsi="Arial" w:cs="Arial"/>
          <w:i/>
          <w:sz w:val="20"/>
          <w:szCs w:val="20"/>
          <w:highlight w:val="lightGray"/>
        </w:rPr>
        <w:t>,</w:t>
      </w:r>
      <w:r w:rsidR="00825BB7">
        <w:rPr>
          <w:rFonts w:ascii="Arial" w:hAnsi="Arial" w:cs="Arial"/>
          <w:i/>
          <w:sz w:val="20"/>
          <w:szCs w:val="20"/>
          <w:highlight w:val="lightGray"/>
        </w:rPr>
        <w:t xml:space="preserve"> </w:t>
      </w:r>
      <w:r w:rsidR="002E3094">
        <w:rPr>
          <w:rFonts w:ascii="Arial" w:hAnsi="Arial" w:cs="Arial"/>
          <w:i/>
          <w:sz w:val="20"/>
          <w:szCs w:val="20"/>
          <w:highlight w:val="lightGray"/>
        </w:rPr>
        <w:t xml:space="preserve">ob die internen Verfahren </w:t>
      </w:r>
      <w:r w:rsidR="00D140AA">
        <w:rPr>
          <w:rFonts w:ascii="Arial" w:hAnsi="Arial" w:cs="Arial"/>
          <w:i/>
          <w:sz w:val="20"/>
          <w:szCs w:val="20"/>
          <w:highlight w:val="lightGray"/>
        </w:rPr>
        <w:t xml:space="preserve">die Abwicklungsfähigkeit des Unternehmens </w:t>
      </w:r>
      <w:r w:rsidR="00C95509">
        <w:rPr>
          <w:rFonts w:ascii="Arial" w:hAnsi="Arial" w:cs="Arial"/>
          <w:i/>
          <w:sz w:val="20"/>
          <w:szCs w:val="20"/>
          <w:highlight w:val="lightGray"/>
        </w:rPr>
        <w:t xml:space="preserve">im Bedarfsfall </w:t>
      </w:r>
      <w:r w:rsidR="00825BB7">
        <w:rPr>
          <w:rFonts w:ascii="Arial" w:hAnsi="Arial" w:cs="Arial"/>
          <w:i/>
          <w:sz w:val="20"/>
          <w:szCs w:val="20"/>
          <w:highlight w:val="lightGray"/>
        </w:rPr>
        <w:t>ermöglichen</w:t>
      </w:r>
      <w:r w:rsidR="00D140AA">
        <w:rPr>
          <w:rFonts w:ascii="Arial" w:hAnsi="Arial" w:cs="Arial"/>
          <w:i/>
          <w:sz w:val="20"/>
          <w:szCs w:val="20"/>
          <w:highlight w:val="lightGray"/>
        </w:rPr>
        <w:t>.</w:t>
      </w:r>
      <w:r w:rsidR="002E3094">
        <w:rPr>
          <w:rFonts w:ascii="Arial" w:hAnsi="Arial" w:cs="Arial"/>
          <w:i/>
          <w:sz w:val="20"/>
          <w:szCs w:val="20"/>
          <w:highlight w:val="lightGray"/>
        </w:rPr>
        <w:t xml:space="preserve"> </w:t>
      </w:r>
    </w:p>
    <w:p w14:paraId="237B91AB" w14:textId="77777777" w:rsidR="002E3094" w:rsidRDefault="002E3094" w:rsidP="00CB3EE6">
      <w:pPr>
        <w:jc w:val="both"/>
        <w:rPr>
          <w:rFonts w:cs="Arial"/>
          <w:i/>
          <w:szCs w:val="20"/>
          <w:highlight w:val="lightGray"/>
        </w:rPr>
      </w:pPr>
    </w:p>
    <w:p w14:paraId="3204C5FC" w14:textId="73675BD7" w:rsidR="00A30784" w:rsidRDefault="002E3094" w:rsidP="007503C2">
      <w:pPr>
        <w:jc w:val="both"/>
      </w:pPr>
      <w:r w:rsidRPr="00CB3EE6">
        <w:rPr>
          <w:rFonts w:ascii="Arial" w:hAnsi="Arial" w:cs="Arial"/>
          <w:i/>
          <w:sz w:val="20"/>
          <w:szCs w:val="20"/>
          <w:highlight w:val="lightGray"/>
        </w:rPr>
        <w:t xml:space="preserve">Des Weiteren </w:t>
      </w:r>
      <w:r w:rsidR="006A76BC">
        <w:rPr>
          <w:rFonts w:ascii="Arial" w:hAnsi="Arial" w:cs="Arial"/>
          <w:i/>
          <w:sz w:val="20"/>
          <w:szCs w:val="20"/>
          <w:highlight w:val="lightGray"/>
        </w:rPr>
        <w:t>weist</w:t>
      </w:r>
      <w:r w:rsidRPr="00CB3EE6">
        <w:rPr>
          <w:rFonts w:ascii="Arial" w:hAnsi="Arial" w:cs="Arial"/>
          <w:i/>
          <w:sz w:val="20"/>
          <w:szCs w:val="20"/>
          <w:highlight w:val="lightGray"/>
        </w:rPr>
        <w:t xml:space="preserve"> </w:t>
      </w:r>
      <w:r w:rsidR="009D1D77">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00B87775" w:rsidRPr="00193A84">
        <w:rPr>
          <w:rFonts w:ascii="Arial" w:hAnsi="Arial" w:cs="Arial"/>
          <w:i/>
          <w:sz w:val="20"/>
          <w:szCs w:val="20"/>
          <w:highlight w:val="lightGray"/>
        </w:rPr>
        <w:t xml:space="preserve"> </w:t>
      </w:r>
      <w:r w:rsidRPr="00CB3EE6">
        <w:rPr>
          <w:rFonts w:ascii="Arial" w:hAnsi="Arial" w:cs="Arial"/>
          <w:i/>
          <w:sz w:val="20"/>
          <w:szCs w:val="20"/>
          <w:highlight w:val="lightGray"/>
        </w:rPr>
        <w:t xml:space="preserve">zukunftsgerichtet auf mögliche (u.a. regulatorische) Herausforderungen </w:t>
      </w:r>
      <w:r w:rsidR="006A76BC">
        <w:rPr>
          <w:rFonts w:ascii="Arial" w:hAnsi="Arial" w:cs="Arial"/>
          <w:i/>
          <w:sz w:val="20"/>
          <w:szCs w:val="20"/>
          <w:highlight w:val="lightGray"/>
        </w:rPr>
        <w:t xml:space="preserve">mit Bezug auf die Abwicklungsfähigkeit </w:t>
      </w:r>
      <w:r w:rsidRPr="00CB3EE6">
        <w:rPr>
          <w:rFonts w:ascii="Arial" w:hAnsi="Arial" w:cs="Arial"/>
          <w:i/>
          <w:sz w:val="20"/>
          <w:szCs w:val="20"/>
          <w:highlight w:val="lightGray"/>
        </w:rPr>
        <w:t>hin</w:t>
      </w:r>
      <w:r w:rsidR="006A76BC">
        <w:rPr>
          <w:rFonts w:ascii="Arial" w:hAnsi="Arial" w:cs="Arial"/>
          <w:i/>
          <w:sz w:val="20"/>
          <w:szCs w:val="20"/>
          <w:highlight w:val="lightGray"/>
        </w:rPr>
        <w:t>.</w:t>
      </w:r>
    </w:p>
    <w:p w14:paraId="0FF862A7" w14:textId="77777777" w:rsidR="00897AEF" w:rsidRDefault="00897AEF" w:rsidP="00A5682B">
      <w:pPr>
        <w:jc w:val="both"/>
        <w:rPr>
          <w:rFonts w:ascii="Arial" w:hAnsi="Arial" w:cs="Arial"/>
          <w:sz w:val="20"/>
          <w:szCs w:val="20"/>
        </w:rPr>
      </w:pPr>
    </w:p>
    <w:p w14:paraId="3A5808C1" w14:textId="263A5D30" w:rsidR="007A36D2" w:rsidRDefault="007A36D2" w:rsidP="00C37D08">
      <w:pPr>
        <w:pStyle w:val="FINMAGliederungEbene1"/>
      </w:pPr>
      <w:bookmarkStart w:id="11" w:name="_Toc147141444"/>
      <w:r>
        <w:t>Prüfresultate</w:t>
      </w:r>
      <w:bookmarkEnd w:id="11"/>
    </w:p>
    <w:p w14:paraId="5E549B85" w14:textId="77777777" w:rsidR="007A36D2" w:rsidRDefault="007A36D2" w:rsidP="007A36D2">
      <w:pPr>
        <w:jc w:val="both"/>
      </w:pPr>
    </w:p>
    <w:p w14:paraId="6EDF1B20" w14:textId="0092EECB" w:rsidR="007A36D2" w:rsidRDefault="00B87775" w:rsidP="00047F52">
      <w:pPr>
        <w:jc w:val="both"/>
        <w:rPr>
          <w:rFonts w:ascii="Arial" w:hAnsi="Arial" w:cs="Arial"/>
          <w:i/>
          <w:sz w:val="20"/>
          <w:szCs w:val="20"/>
          <w:highlight w:val="lightGray"/>
        </w:rPr>
      </w:pP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Pr="00193A84">
        <w:rPr>
          <w:rFonts w:ascii="Arial" w:hAnsi="Arial" w:cs="Arial"/>
          <w:i/>
          <w:sz w:val="20"/>
          <w:szCs w:val="20"/>
          <w:highlight w:val="lightGray"/>
        </w:rPr>
        <w:t xml:space="preserve"> </w:t>
      </w:r>
      <w:r w:rsidR="00515064">
        <w:rPr>
          <w:rFonts w:ascii="Arial" w:hAnsi="Arial" w:cs="Arial"/>
          <w:i/>
          <w:sz w:val="20"/>
          <w:szCs w:val="20"/>
          <w:highlight w:val="lightGray"/>
        </w:rPr>
        <w:t xml:space="preserve">bewertet die Prüfelemente </w:t>
      </w:r>
      <w:r w:rsidR="007A36D2"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007A36D2"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007A36D2"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007A36D2"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007A36D2"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007A36D2"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007A36D2"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007A36D2"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w:t>
      </w:r>
      <w:proofErr w:type="spellStart"/>
      <w:r w:rsidR="004805B6" w:rsidRPr="00CB3EE6">
        <w:rPr>
          <w:rFonts w:ascii="Arial" w:hAnsi="Arial" w:cs="Arial"/>
          <w:i/>
          <w:sz w:val="20"/>
          <w:szCs w:val="20"/>
          <w:highlight w:val="lightGray"/>
        </w:rPr>
        <w:t>assurance</w:t>
      </w:r>
      <w:proofErr w:type="spellEnd"/>
      <w:r w:rsidR="004805B6" w:rsidRPr="00CB3EE6">
        <w:rPr>
          <w:rFonts w:ascii="Arial" w:hAnsi="Arial" w:cs="Arial"/>
          <w:i/>
          <w:sz w:val="20"/>
          <w:szCs w:val="20"/>
          <w:highlight w:val="lightGray"/>
        </w:rPr>
        <w:t xml:space="preserve">“ </w:t>
      </w:r>
      <w:r w:rsidR="007A36D2"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6D5A5D2F" w14:textId="4FB65B73" w:rsidR="00880C53" w:rsidRDefault="00B87775" w:rsidP="00047F52">
      <w:pPr>
        <w:jc w:val="both"/>
        <w:rPr>
          <w:rFonts w:ascii="Arial" w:hAnsi="Arial" w:cs="Arial"/>
          <w:i/>
          <w:sz w:val="20"/>
          <w:szCs w:val="20"/>
          <w:highlight w:val="lightGray"/>
        </w:rPr>
      </w:pP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00C32A65">
        <w:rPr>
          <w:rFonts w:ascii="Arial" w:hAnsi="Arial" w:cs="Arial"/>
          <w:i/>
          <w:sz w:val="20"/>
          <w:szCs w:val="20"/>
          <w:highlight w:val="lightGray"/>
        </w:rPr>
        <w:t xml:space="preserv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so ist das Prüfresultat mit „Nein“ anzugeben</w:t>
      </w:r>
      <w:r w:rsidR="00706801">
        <w:rPr>
          <w:rFonts w:ascii="Arial" w:hAnsi="Arial" w:cs="Arial"/>
          <w:i/>
          <w:sz w:val="20"/>
          <w:szCs w:val="20"/>
          <w:highlight w:val="lightGray"/>
        </w:rPr>
        <w:t xml:space="preserve"> und eine </w:t>
      </w:r>
      <w:r w:rsidR="000A17AC">
        <w:rPr>
          <w:rFonts w:ascii="Arial" w:hAnsi="Arial" w:cs="Arial"/>
          <w:i/>
          <w:sz w:val="20"/>
          <w:szCs w:val="20"/>
          <w:highlight w:val="lightGray"/>
        </w:rPr>
        <w:t xml:space="preserve">Einschätzung der möglichen Auswirkungen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r w:rsidR="000A17AC">
        <w:rPr>
          <w:rFonts w:ascii="Arial" w:hAnsi="Arial" w:cs="Arial"/>
          <w:i/>
          <w:sz w:val="20"/>
          <w:szCs w:val="20"/>
          <w:highlight w:val="lightGray"/>
        </w:rPr>
        <w:t xml:space="preserve"> </w:t>
      </w:r>
      <w:r w:rsidR="00880C53">
        <w:rPr>
          <w:rFonts w:ascii="Arial" w:hAnsi="Arial" w:cs="Arial"/>
          <w:i/>
          <w:sz w:val="20"/>
          <w:szCs w:val="20"/>
          <w:highlight w:val="lightGray"/>
        </w:rPr>
        <w:t>Liegen die Voraussetzungen für eine Empfehlung vor,</w:t>
      </w:r>
      <w:r w:rsidR="006F1862">
        <w:rPr>
          <w:rFonts w:ascii="Arial" w:hAnsi="Arial" w:cs="Arial"/>
          <w:i/>
          <w:sz w:val="20"/>
          <w:szCs w:val="20"/>
          <w:highlight w:val="lightGray"/>
        </w:rPr>
        <w:t xml:space="preserve"> </w:t>
      </w:r>
      <w:r w:rsidR="00880C53">
        <w:rPr>
          <w:rFonts w:ascii="Arial" w:hAnsi="Arial" w:cs="Arial"/>
          <w:i/>
          <w:sz w:val="20"/>
          <w:szCs w:val="20"/>
          <w:highlight w:val="lightGray"/>
        </w:rPr>
        <w:t xml:space="preserve">so hat </w:t>
      </w:r>
      <w:r w:rsidR="005D2709">
        <w:rPr>
          <w:rFonts w:ascii="Arial" w:hAnsi="Arial" w:cs="Arial"/>
          <w:i/>
          <w:sz w:val="20"/>
          <w:szCs w:val="20"/>
          <w:highlight w:val="lightGray"/>
        </w:rPr>
        <w:t xml:space="preserve">der </w:t>
      </w:r>
      <w:proofErr w:type="gramStart"/>
      <w:r w:rsidR="00697F22" w:rsidRPr="00697F22">
        <w:rPr>
          <w:rFonts w:ascii="Arial" w:hAnsi="Arial" w:cs="Arial"/>
          <w:i/>
          <w:sz w:val="20"/>
          <w:szCs w:val="20"/>
          <w:highlight w:val="lightGray"/>
        </w:rPr>
        <w:t>Wirtschaftsprüfer</w:t>
      </w:r>
      <w:r w:rsidR="00697F22">
        <w:rPr>
          <w:rFonts w:ascii="Arial" w:hAnsi="Arial" w:cs="Arial"/>
          <w:i/>
          <w:sz w:val="20"/>
          <w:szCs w:val="20"/>
          <w:highlight w:val="lightGray"/>
        </w:rPr>
        <w:t xml:space="preserve">  </w:t>
      </w:r>
      <w:r w:rsidR="00880C53">
        <w:rPr>
          <w:rFonts w:ascii="Arial" w:hAnsi="Arial" w:cs="Arial"/>
          <w:i/>
          <w:sz w:val="20"/>
          <w:szCs w:val="20"/>
          <w:highlight w:val="lightGray"/>
        </w:rPr>
        <w:t>eine</w:t>
      </w:r>
      <w:proofErr w:type="gramEnd"/>
      <w:r w:rsidR="00880C53">
        <w:rPr>
          <w:rFonts w:ascii="Arial" w:hAnsi="Arial" w:cs="Arial"/>
          <w:i/>
          <w:sz w:val="20"/>
          <w:szCs w:val="20"/>
          <w:highlight w:val="lightGray"/>
        </w:rPr>
        <w:t xml:space="preserve"> </w:t>
      </w:r>
      <w:r w:rsidR="000A17AC">
        <w:rPr>
          <w:rFonts w:ascii="Arial" w:hAnsi="Arial" w:cs="Arial"/>
          <w:i/>
          <w:sz w:val="20"/>
          <w:szCs w:val="20"/>
          <w:highlight w:val="lightGray"/>
        </w:rPr>
        <w:t>entsprechende</w:t>
      </w:r>
      <w:r w:rsidR="00880C53">
        <w:rPr>
          <w:rFonts w:ascii="Arial" w:hAnsi="Arial" w:cs="Arial"/>
          <w:i/>
          <w:sz w:val="20"/>
          <w:szCs w:val="20"/>
          <w:highlight w:val="lightGray"/>
        </w:rPr>
        <w:t xml:space="preserve"> </w:t>
      </w:r>
      <w:r w:rsidR="00880C53" w:rsidRPr="00047F52">
        <w:rPr>
          <w:rFonts w:ascii="Arial" w:hAnsi="Arial" w:cs="Arial"/>
          <w:i/>
          <w:sz w:val="20"/>
          <w:szCs w:val="20"/>
          <w:highlight w:val="lightGray"/>
        </w:rPr>
        <w:t>Erläuterung</w:t>
      </w:r>
      <w:r w:rsidR="000A17AC">
        <w:rPr>
          <w:rFonts w:ascii="Arial" w:hAnsi="Arial" w:cs="Arial"/>
          <w:i/>
          <w:sz w:val="20"/>
          <w:szCs w:val="20"/>
          <w:highlight w:val="lightGray"/>
        </w:rPr>
        <w:t xml:space="preserve"> </w:t>
      </w:r>
      <w:r w:rsidR="00880C53" w:rsidRPr="00047F52">
        <w:rPr>
          <w:rFonts w:ascii="Arial" w:hAnsi="Arial" w:cs="Arial"/>
          <w:i/>
          <w:sz w:val="20"/>
          <w:szCs w:val="20"/>
          <w:highlight w:val="lightGray"/>
        </w:rPr>
        <w:t>vor</w:t>
      </w:r>
      <w:r w:rsidR="00880C53">
        <w:rPr>
          <w:rFonts w:ascii="Arial" w:hAnsi="Arial" w:cs="Arial"/>
          <w:i/>
          <w:sz w:val="20"/>
          <w:szCs w:val="20"/>
          <w:highlight w:val="lightGray"/>
        </w:rPr>
        <w:t>zunehmen.</w:t>
      </w:r>
    </w:p>
    <w:p w14:paraId="49AD3BC2" w14:textId="15DA5E2A" w:rsidR="001E12FA" w:rsidRDefault="001E12FA" w:rsidP="00047F52">
      <w:pPr>
        <w:jc w:val="both"/>
        <w:rPr>
          <w:rFonts w:ascii="Arial" w:hAnsi="Arial" w:cs="Arial"/>
          <w:i/>
          <w:sz w:val="20"/>
          <w:szCs w:val="20"/>
          <w:highlight w:val="lightGray"/>
        </w:rPr>
      </w:pPr>
    </w:p>
    <w:p w14:paraId="09C2A27F" w14:textId="77777777" w:rsidR="007A63D9" w:rsidRDefault="007A63D9" w:rsidP="007A63D9">
      <w:pPr>
        <w:jc w:val="both"/>
        <w:rPr>
          <w:rFonts w:ascii="Arial" w:hAnsi="Arial" w:cs="Arial"/>
          <w:i/>
          <w:sz w:val="20"/>
          <w:szCs w:val="20"/>
          <w:highlight w:val="lightGray"/>
        </w:rPr>
      </w:pPr>
      <w:r>
        <w:rPr>
          <w:rFonts w:ascii="Arial" w:hAnsi="Arial" w:cs="Arial"/>
          <w:i/>
          <w:sz w:val="20"/>
          <w:szCs w:val="20"/>
          <w:highlight w:val="lightGray"/>
        </w:rPr>
        <w:t>Die Erläuterungen bei Prüfgebieten mit Beanstandungen müssen mind. Folgendes enthalten: Nachvollziehbare Angaben zu Ist- und Soll-Sachverhalten mit Referenzen auf gesetzliche Grundlagen und/oder europäische/internationale Standards (z.B. EBA-Leitlinien), genaue zeitliche Angabe zum Sachverhalt (Zeitraum), Zuständigkeit innerhalb des Unternehmens und zugrundeliegende Quellen für das Prüfergebnis (Nachweise).</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0C52679F"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w:t>
      </w:r>
      <w:r w:rsidR="005D2709">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005D2709" w:rsidRPr="00193A84">
        <w:rPr>
          <w:rFonts w:ascii="Arial" w:hAnsi="Arial" w:cs="Arial"/>
          <w:i/>
          <w:sz w:val="20"/>
          <w:szCs w:val="20"/>
          <w:highlight w:val="lightGray"/>
        </w:rPr>
        <w:t xml:space="preserve"> </w:t>
      </w:r>
      <w:r w:rsidRPr="00047F52">
        <w:rPr>
          <w:rFonts w:ascii="Arial" w:hAnsi="Arial" w:cs="Arial"/>
          <w:i/>
          <w:sz w:val="20"/>
          <w:szCs w:val="20"/>
          <w:highlight w:val="lightGray"/>
        </w:rPr>
        <w:t xml:space="preserve">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66011A55"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xml:space="preserve">, wobei die entsprechende Berichtsziffer inkl. den Formatvorlagen gelöscht werden </w:t>
      </w:r>
      <w:r w:rsidR="007503C2">
        <w:rPr>
          <w:rFonts w:ascii="Arial" w:hAnsi="Arial" w:cs="Arial"/>
          <w:i/>
          <w:sz w:val="20"/>
          <w:szCs w:val="20"/>
          <w:highlight w:val="lightGray"/>
        </w:rPr>
        <w:t>darf</w:t>
      </w:r>
      <w:r w:rsidR="00E962D3">
        <w:rPr>
          <w:rFonts w:ascii="Arial" w:hAnsi="Arial" w:cs="Arial"/>
          <w:i/>
          <w:sz w:val="20"/>
          <w:szCs w:val="20"/>
          <w:highlight w:val="lightGray"/>
        </w:rPr>
        <w:t>.</w:t>
      </w:r>
    </w:p>
    <w:p w14:paraId="1B7E06EF" w14:textId="77777777" w:rsidR="00EC06B1" w:rsidRDefault="00EC06B1" w:rsidP="00047F52">
      <w:pPr>
        <w:jc w:val="both"/>
        <w:rPr>
          <w:rFonts w:ascii="Arial" w:hAnsi="Arial" w:cs="Arial"/>
          <w:i/>
          <w:sz w:val="20"/>
          <w:szCs w:val="20"/>
          <w:highlight w:val="lightGray"/>
        </w:rPr>
      </w:pPr>
    </w:p>
    <w:p w14:paraId="4CDCCD59" w14:textId="7B4DAEEB"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w:t>
      </w:r>
      <w:r w:rsidR="007503C2">
        <w:rPr>
          <w:rFonts w:ascii="Arial" w:hAnsi="Arial" w:cs="Arial"/>
          <w:i/>
          <w:sz w:val="20"/>
          <w:szCs w:val="20"/>
          <w:highlight w:val="lightGray"/>
        </w:rPr>
        <w:t xml:space="preserve">sämtliche </w:t>
      </w:r>
      <w:r>
        <w:rPr>
          <w:rFonts w:ascii="Arial" w:hAnsi="Arial" w:cs="Arial"/>
          <w:i/>
          <w:sz w:val="20"/>
          <w:szCs w:val="20"/>
          <w:highlight w:val="lightGray"/>
        </w:rPr>
        <w:t xml:space="preserve">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t>
      </w:r>
      <w:r w:rsidR="005C08C6">
        <w:rPr>
          <w:rFonts w:ascii="Arial" w:hAnsi="Arial" w:cs="Arial"/>
          <w:i/>
          <w:sz w:val="20"/>
          <w:szCs w:val="20"/>
          <w:highlight w:val="lightGray"/>
        </w:rPr>
        <w:t>in den Interventionen stattgefunden haben (Detailprüfung oder kritische Beurteilung)</w:t>
      </w:r>
      <w:r>
        <w:rPr>
          <w:rFonts w:ascii="Arial" w:hAnsi="Arial" w:cs="Arial"/>
          <w:i/>
          <w:sz w:val="20"/>
          <w:szCs w:val="20"/>
          <w:highlight w:val="lightGray"/>
        </w:rPr>
        <w:t xml:space="preserve">, sind zwingend </w:t>
      </w:r>
      <w:r w:rsidR="00DD1307">
        <w:rPr>
          <w:rFonts w:ascii="Arial" w:hAnsi="Arial" w:cs="Arial"/>
          <w:i/>
          <w:sz w:val="20"/>
          <w:szCs w:val="20"/>
          <w:highlight w:val="lightGray"/>
        </w:rPr>
        <w:t>aussagekräftige Erläuterungen</w:t>
      </w:r>
      <w:r w:rsidR="00750904">
        <w:rPr>
          <w:rFonts w:ascii="Arial" w:hAnsi="Arial" w:cs="Arial"/>
          <w:i/>
          <w:sz w:val="20"/>
          <w:szCs w:val="20"/>
          <w:highlight w:val="lightGray"/>
        </w:rPr>
        <w:t xml:space="preserve"> </w:t>
      </w:r>
      <w:r w:rsidR="00DD1307">
        <w:rPr>
          <w:rFonts w:ascii="Arial" w:hAnsi="Arial" w:cs="Arial"/>
          <w:i/>
          <w:sz w:val="20"/>
          <w:szCs w:val="20"/>
          <w:highlight w:val="lightGray"/>
        </w:rPr>
        <w:t>aufzuführen.</w:t>
      </w:r>
      <w:r w:rsidR="00750904">
        <w:rPr>
          <w:rFonts w:ascii="Arial" w:hAnsi="Arial" w:cs="Arial"/>
          <w:i/>
          <w:sz w:val="20"/>
          <w:szCs w:val="20"/>
          <w:highlight w:val="lightGray"/>
        </w:rPr>
        <w:t xml:space="preserve"> </w:t>
      </w:r>
    </w:p>
    <w:p w14:paraId="73632D51" w14:textId="77777777" w:rsidR="00750904" w:rsidRDefault="00750904" w:rsidP="00047F52">
      <w:pPr>
        <w:jc w:val="both"/>
        <w:rPr>
          <w:rFonts w:ascii="Arial" w:hAnsi="Arial" w:cs="Arial"/>
          <w:i/>
          <w:sz w:val="20"/>
          <w:szCs w:val="20"/>
          <w:highlight w:val="lightGray"/>
        </w:rPr>
      </w:pPr>
    </w:p>
    <w:p w14:paraId="59815E5B" w14:textId="3E87A6D1" w:rsidR="001E12FA" w:rsidRDefault="00B87775" w:rsidP="00047F52">
      <w:pPr>
        <w:jc w:val="both"/>
        <w:rPr>
          <w:rFonts w:ascii="Arial" w:hAnsi="Arial" w:cs="Arial"/>
          <w:i/>
          <w:sz w:val="20"/>
          <w:szCs w:val="20"/>
          <w:highlight w:val="lightGray"/>
        </w:rPr>
      </w:pPr>
      <w:r>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Pr="00193A84">
        <w:rPr>
          <w:rFonts w:ascii="Arial" w:hAnsi="Arial" w:cs="Arial"/>
          <w:i/>
          <w:sz w:val="20"/>
          <w:szCs w:val="20"/>
          <w:highlight w:val="lightGray"/>
        </w:rPr>
        <w:t xml:space="preserve"> </w:t>
      </w:r>
      <w:r w:rsidR="004F6209">
        <w:rPr>
          <w:rFonts w:ascii="Arial" w:hAnsi="Arial" w:cs="Arial"/>
          <w:i/>
          <w:sz w:val="20"/>
          <w:szCs w:val="20"/>
          <w:highlight w:val="lightGray"/>
        </w:rPr>
        <w:t xml:space="preserve">hat Umfang und Tiefe der Erläuterungen so auszugestalten, dass sich </w:t>
      </w:r>
      <w:r w:rsidR="002E51D3">
        <w:rPr>
          <w:rFonts w:ascii="Arial" w:hAnsi="Arial" w:cs="Arial"/>
          <w:i/>
          <w:sz w:val="20"/>
          <w:szCs w:val="20"/>
          <w:highlight w:val="lightGray"/>
        </w:rPr>
        <w:t xml:space="preserve">der Verwaltungsrat </w:t>
      </w:r>
      <w:r w:rsidR="00795135">
        <w:rPr>
          <w:rFonts w:ascii="Arial" w:hAnsi="Arial" w:cs="Arial"/>
          <w:i/>
          <w:sz w:val="20"/>
          <w:szCs w:val="20"/>
          <w:highlight w:val="lightGray"/>
        </w:rPr>
        <w:t>des Unternehmens</w:t>
      </w:r>
      <w:r w:rsidR="002E51D3">
        <w:rPr>
          <w:rFonts w:ascii="Arial" w:hAnsi="Arial" w:cs="Arial"/>
          <w:i/>
          <w:sz w:val="20"/>
          <w:szCs w:val="20"/>
          <w:highlight w:val="lightGray"/>
        </w:rPr>
        <w:t xml:space="preserve"> bzw. der Gruppe sowie die FMA ein angemessenes Bild über das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müssen aussagekräftig sein und Rückschlüsse auf die </w:t>
      </w:r>
      <w:r w:rsidR="001E12FA">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845076">
        <w:rPr>
          <w:rFonts w:ascii="Arial" w:hAnsi="Arial" w:cs="Arial"/>
          <w:i/>
          <w:sz w:val="20"/>
          <w:szCs w:val="20"/>
          <w:highlight w:val="lightGray"/>
        </w:rPr>
        <w:t>Zudem si</w:t>
      </w:r>
      <w:r w:rsidR="001E12FA">
        <w:rPr>
          <w:rFonts w:ascii="Arial" w:hAnsi="Arial" w:cs="Arial"/>
          <w:i/>
          <w:sz w:val="20"/>
          <w:szCs w:val="20"/>
          <w:highlight w:val="lightGray"/>
        </w:rPr>
        <w:t>nd Erläuterungen zur Stichprobenauswahl und der Stichprobengrösse im Verhältnis zum Gesamtvolumen darzulegen.</w:t>
      </w:r>
    </w:p>
    <w:p w14:paraId="79DCF84D" w14:textId="77777777" w:rsidR="0030349B" w:rsidRDefault="0030349B" w:rsidP="00047F52">
      <w:pPr>
        <w:jc w:val="both"/>
        <w:rPr>
          <w:rFonts w:ascii="Arial" w:hAnsi="Arial" w:cs="Arial"/>
          <w:i/>
          <w:sz w:val="20"/>
          <w:szCs w:val="20"/>
          <w:highlight w:val="lightGray"/>
        </w:rPr>
      </w:pPr>
    </w:p>
    <w:p w14:paraId="51328F39" w14:textId="41B02FB9" w:rsidR="007012E9" w:rsidRDefault="007012E9" w:rsidP="00047F52">
      <w:pPr>
        <w:jc w:val="both"/>
        <w:rPr>
          <w:rFonts w:ascii="Arial" w:hAnsi="Arial" w:cs="Arial"/>
          <w:i/>
          <w:sz w:val="20"/>
          <w:szCs w:val="20"/>
          <w:highlight w:val="lightGray"/>
        </w:rPr>
      </w:pPr>
      <w:r>
        <w:rPr>
          <w:rFonts w:ascii="Arial" w:hAnsi="Arial" w:cs="Arial"/>
          <w:i/>
          <w:sz w:val="20"/>
          <w:szCs w:val="20"/>
          <w:highlight w:val="lightGray"/>
        </w:rPr>
        <w:t xml:space="preserve">Für den Musterbericht und die Module gelten </w:t>
      </w:r>
      <w:r w:rsidR="00DD1307">
        <w:rPr>
          <w:rFonts w:ascii="Arial" w:hAnsi="Arial" w:cs="Arial"/>
          <w:i/>
          <w:sz w:val="20"/>
          <w:szCs w:val="20"/>
          <w:highlight w:val="lightGray"/>
        </w:rPr>
        <w:t>Mindestp</w:t>
      </w:r>
      <w:r w:rsidR="00282891">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sidR="00282891">
        <w:rPr>
          <w:rFonts w:ascii="Arial" w:hAnsi="Arial" w:cs="Arial"/>
          <w:i/>
          <w:sz w:val="20"/>
          <w:szCs w:val="20"/>
          <w:highlight w:val="lightGray"/>
        </w:rPr>
        <w:t xml:space="preserve">, welche durch die Prüfungshandlungen </w:t>
      </w:r>
      <w:r w:rsidR="005D2709">
        <w:rPr>
          <w:rFonts w:ascii="Arial" w:hAnsi="Arial" w:cs="Arial"/>
          <w:i/>
          <w:sz w:val="20"/>
          <w:szCs w:val="20"/>
          <w:highlight w:val="lightGray"/>
        </w:rPr>
        <w:t xml:space="preserve">des </w:t>
      </w:r>
      <w:r w:rsidR="00697F22" w:rsidRPr="00697F22">
        <w:rPr>
          <w:rFonts w:ascii="Arial" w:hAnsi="Arial" w:cs="Arial"/>
          <w:i/>
          <w:sz w:val="20"/>
          <w:szCs w:val="20"/>
          <w:highlight w:val="lightGray"/>
        </w:rPr>
        <w:t>Wirtschaftsprüfer</w:t>
      </w:r>
      <w:r w:rsidR="00697F22">
        <w:rPr>
          <w:rFonts w:ascii="Arial" w:hAnsi="Arial" w:cs="Arial"/>
          <w:i/>
          <w:sz w:val="20"/>
          <w:szCs w:val="20"/>
          <w:highlight w:val="lightGray"/>
        </w:rPr>
        <w:t>s</w:t>
      </w:r>
      <w:r w:rsidR="005D2709" w:rsidRPr="00193A84">
        <w:rPr>
          <w:rFonts w:ascii="Arial" w:hAnsi="Arial" w:cs="Arial"/>
          <w:i/>
          <w:sz w:val="20"/>
          <w:szCs w:val="20"/>
          <w:highlight w:val="lightGray"/>
        </w:rPr>
        <w:t xml:space="preserve"> </w:t>
      </w:r>
      <w:r w:rsidR="00282891">
        <w:rPr>
          <w:rFonts w:ascii="Arial" w:hAnsi="Arial" w:cs="Arial"/>
          <w:i/>
          <w:sz w:val="20"/>
          <w:szCs w:val="20"/>
          <w:highlight w:val="lightGray"/>
        </w:rPr>
        <w:t>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sidR="00282891">
        <w:rPr>
          <w:rFonts w:ascii="Arial" w:hAnsi="Arial" w:cs="Arial"/>
          <w:i/>
          <w:sz w:val="20"/>
          <w:szCs w:val="20"/>
          <w:highlight w:val="lightGray"/>
        </w:rPr>
        <w:t xml:space="preserve"> abzudecken sind</w:t>
      </w:r>
      <w:r w:rsidR="00DA500F">
        <w:rPr>
          <w:rFonts w:ascii="Arial" w:hAnsi="Arial" w:cs="Arial"/>
          <w:i/>
          <w:sz w:val="20"/>
          <w:szCs w:val="20"/>
          <w:highlight w:val="lightGray"/>
        </w:rPr>
        <w:t>.</w:t>
      </w:r>
    </w:p>
    <w:p w14:paraId="2D2E8EC5" w14:textId="043005F9"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Es liegt in der Verantwortung </w:t>
      </w:r>
      <w:r w:rsidR="005D2709">
        <w:rPr>
          <w:rFonts w:ascii="Arial" w:hAnsi="Arial" w:cs="Arial"/>
          <w:i/>
          <w:sz w:val="20"/>
          <w:szCs w:val="20"/>
          <w:highlight w:val="lightGray"/>
        </w:rPr>
        <w:t xml:space="preserve">des </w:t>
      </w:r>
      <w:r w:rsidR="00697F22" w:rsidRPr="00697F22">
        <w:rPr>
          <w:rFonts w:ascii="Arial" w:hAnsi="Arial" w:cs="Arial"/>
          <w:i/>
          <w:sz w:val="20"/>
          <w:szCs w:val="20"/>
          <w:highlight w:val="lightGray"/>
        </w:rPr>
        <w:t>Wirtschaftsprüfer</w:t>
      </w:r>
      <w:r w:rsidR="00697F22">
        <w:rPr>
          <w:rFonts w:ascii="Arial" w:hAnsi="Arial" w:cs="Arial"/>
          <w:i/>
          <w:sz w:val="20"/>
          <w:szCs w:val="20"/>
          <w:highlight w:val="lightGray"/>
        </w:rPr>
        <w:t>s</w:t>
      </w:r>
      <w:r w:rsidR="005D2709" w:rsidRPr="00193A84">
        <w:rPr>
          <w:rFonts w:ascii="Arial" w:hAnsi="Arial" w:cs="Arial"/>
          <w:i/>
          <w:sz w:val="20"/>
          <w:szCs w:val="20"/>
          <w:highlight w:val="lightGray"/>
        </w:rPr>
        <w:t xml:space="preserve"> </w:t>
      </w:r>
      <w:r>
        <w:rPr>
          <w:rFonts w:ascii="Arial" w:hAnsi="Arial" w:cs="Arial"/>
          <w:i/>
          <w:sz w:val="20"/>
          <w:szCs w:val="20"/>
          <w:highlight w:val="lightGray"/>
        </w:rPr>
        <w:t xml:space="preserve">die </w:t>
      </w:r>
      <w:r w:rsidR="00DD1307">
        <w:rPr>
          <w:rFonts w:ascii="Arial" w:hAnsi="Arial" w:cs="Arial"/>
          <w:i/>
          <w:sz w:val="20"/>
          <w:szCs w:val="20"/>
          <w:highlight w:val="lightGray"/>
        </w:rPr>
        <w:t>Mindestp</w:t>
      </w:r>
      <w:r>
        <w:rPr>
          <w:rFonts w:ascii="Arial" w:hAnsi="Arial" w:cs="Arial"/>
          <w:i/>
          <w:sz w:val="20"/>
          <w:szCs w:val="20"/>
          <w:highlight w:val="lightGray"/>
        </w:rPr>
        <w:t xml:space="preserve">rüfinhalte an die spezifische Situation </w:t>
      </w:r>
      <w:r w:rsidR="00795135">
        <w:rPr>
          <w:rFonts w:ascii="Arial" w:hAnsi="Arial" w:cs="Arial"/>
          <w:i/>
          <w:sz w:val="20"/>
          <w:szCs w:val="20"/>
          <w:highlight w:val="lightGray"/>
        </w:rPr>
        <w:t>des zu prüfenden Unternehmens</w:t>
      </w:r>
      <w:r>
        <w:rPr>
          <w:rFonts w:ascii="Arial" w:hAnsi="Arial" w:cs="Arial"/>
          <w:i/>
          <w:sz w:val="20"/>
          <w:szCs w:val="20"/>
          <w:highlight w:val="lightGray"/>
        </w:rPr>
        <w:t xml:space="preserve"> bzw. an die Prüftiefe anzupassen</w:t>
      </w:r>
      <w:r w:rsidR="00B13D3A">
        <w:rPr>
          <w:rFonts w:ascii="Arial" w:hAnsi="Arial" w:cs="Arial"/>
          <w:i/>
          <w:sz w:val="20"/>
          <w:szCs w:val="20"/>
          <w:highlight w:val="lightGray"/>
        </w:rPr>
        <w:t xml:space="preserve"> und ggf. auszuweiten</w:t>
      </w:r>
      <w:r>
        <w:rPr>
          <w:rFonts w:ascii="Arial" w:hAnsi="Arial" w:cs="Arial"/>
          <w:i/>
          <w:sz w:val="20"/>
          <w:szCs w:val="20"/>
          <w:highlight w:val="lightGray"/>
        </w:rPr>
        <w:t xml:space="preserve">. Werden die </w:t>
      </w:r>
      <w:r w:rsidR="00DD1307">
        <w:rPr>
          <w:rFonts w:ascii="Arial" w:hAnsi="Arial" w:cs="Arial"/>
          <w:i/>
          <w:sz w:val="20"/>
          <w:szCs w:val="20"/>
          <w:highlight w:val="lightGray"/>
        </w:rPr>
        <w:t>Mindestp</w:t>
      </w:r>
      <w:r>
        <w:rPr>
          <w:rFonts w:ascii="Arial" w:hAnsi="Arial" w:cs="Arial"/>
          <w:i/>
          <w:sz w:val="20"/>
          <w:szCs w:val="20"/>
          <w:highlight w:val="lightGray"/>
        </w:rPr>
        <w:t xml:space="preserve">rüfinhalte durch die durchgeführten Prüfungshandlungen nicht vollständig abgedeckt, ist im Bericht über die </w:t>
      </w:r>
      <w:r w:rsidR="00795135">
        <w:rPr>
          <w:rFonts w:ascii="Arial" w:hAnsi="Arial" w:cs="Arial"/>
          <w:i/>
          <w:sz w:val="20"/>
          <w:szCs w:val="20"/>
          <w:highlight w:val="lightGray"/>
        </w:rPr>
        <w:t>P</w:t>
      </w:r>
      <w:r>
        <w:rPr>
          <w:rFonts w:ascii="Arial" w:hAnsi="Arial" w:cs="Arial"/>
          <w:i/>
          <w:sz w:val="20"/>
          <w:szCs w:val="20"/>
          <w:highlight w:val="lightGray"/>
        </w:rPr>
        <w:t>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5FC49D0D" w14:textId="4C077030" w:rsidR="0012542F" w:rsidRDefault="006819F9" w:rsidP="00C37D08">
      <w:pPr>
        <w:pStyle w:val="FINMAGliederungEbene1"/>
      </w:pPr>
      <w:r>
        <w:br w:type="page"/>
      </w:r>
      <w:bookmarkStart w:id="12" w:name="_Toc147141445"/>
      <w:r w:rsidR="0012542F">
        <w:lastRenderedPageBreak/>
        <w:t>Allgemeiner Teil</w:t>
      </w:r>
      <w:bookmarkEnd w:id="12"/>
    </w:p>
    <w:p w14:paraId="7FF1CB1A" w14:textId="7A09A9D0" w:rsidR="0012542F" w:rsidRPr="0012542F" w:rsidRDefault="0012542F" w:rsidP="0012542F">
      <w:pPr>
        <w:rPr>
          <w:rFonts w:ascii="Arial" w:hAnsi="Arial" w:cs="Arial"/>
          <w:sz w:val="20"/>
          <w:szCs w:val="22"/>
        </w:rPr>
      </w:pPr>
    </w:p>
    <w:p w14:paraId="17AB6A1D" w14:textId="47BDEB6B" w:rsidR="008C30D1" w:rsidRDefault="00D930ED" w:rsidP="00C37D08">
      <w:pPr>
        <w:pStyle w:val="FINMAGliederungEbene2"/>
      </w:pPr>
      <w:bookmarkStart w:id="13" w:name="_Toc147141446"/>
      <w:r>
        <w:t xml:space="preserve">Ausfall- und </w:t>
      </w:r>
      <w:r w:rsidR="008817A9">
        <w:t>Liquidations</w:t>
      </w:r>
      <w:r w:rsidR="00A64A54">
        <w:t>perspektive</w:t>
      </w:r>
      <w:bookmarkEnd w:id="13"/>
    </w:p>
    <w:p w14:paraId="2612AB9C" w14:textId="77777777" w:rsidR="00D146EF" w:rsidRPr="006067FE" w:rsidRDefault="00D146EF" w:rsidP="00D146EF">
      <w:pPr>
        <w:jc w:val="both"/>
      </w:pPr>
    </w:p>
    <w:tbl>
      <w:tblPr>
        <w:tblStyle w:val="Tabellenraster"/>
        <w:tblW w:w="0" w:type="auto"/>
        <w:tblLook w:val="04A0" w:firstRow="1" w:lastRow="0" w:firstColumn="1" w:lastColumn="0" w:noHBand="0" w:noVBand="1"/>
      </w:tblPr>
      <w:tblGrid>
        <w:gridCol w:w="617"/>
        <w:gridCol w:w="1626"/>
        <w:gridCol w:w="2124"/>
        <w:gridCol w:w="2653"/>
        <w:gridCol w:w="2494"/>
      </w:tblGrid>
      <w:tr w:rsidR="009872F3" w:rsidRPr="009872F3" w14:paraId="0B98D3A1" w14:textId="77777777" w:rsidTr="0096765A">
        <w:trPr>
          <w:trHeight w:val="563"/>
        </w:trPr>
        <w:tc>
          <w:tcPr>
            <w:tcW w:w="2243" w:type="dxa"/>
            <w:gridSpan w:val="2"/>
            <w:shd w:val="clear" w:color="auto" w:fill="DBE5F1" w:themeFill="accent1" w:themeFillTint="33"/>
          </w:tcPr>
          <w:p w14:paraId="5AB519C0"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Nettorisiko</w:t>
            </w:r>
          </w:p>
        </w:tc>
        <w:tc>
          <w:tcPr>
            <w:tcW w:w="2124" w:type="dxa"/>
            <w:shd w:val="clear" w:color="auto" w:fill="DBE5F1" w:themeFill="accent1" w:themeFillTint="33"/>
          </w:tcPr>
          <w:p w14:paraId="70A9C2E6"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Intervention Berichtsjahr:</w:t>
            </w:r>
          </w:p>
        </w:tc>
        <w:tc>
          <w:tcPr>
            <w:tcW w:w="5147" w:type="dxa"/>
            <w:gridSpan w:val="2"/>
            <w:shd w:val="clear" w:color="auto" w:fill="DBE5F1" w:themeFill="accent1" w:themeFillTint="33"/>
          </w:tcPr>
          <w:p w14:paraId="3BA6DDD4"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872F3" w:rsidRPr="009872F3" w14:paraId="1B1D3C34" w14:textId="77777777" w:rsidTr="0096765A">
        <w:trPr>
          <w:trHeight w:val="698"/>
        </w:trPr>
        <w:tc>
          <w:tcPr>
            <w:tcW w:w="2243" w:type="dxa"/>
            <w:gridSpan w:val="2"/>
            <w:shd w:val="clear" w:color="auto" w:fill="DBE5F1" w:themeFill="accent1" w:themeFillTint="33"/>
          </w:tcPr>
          <w:p w14:paraId="00FB7127" w14:textId="2C9CE3F3" w:rsidR="009872F3" w:rsidRPr="006749F0" w:rsidRDefault="009872F3" w:rsidP="00F60909">
            <w:pPr>
              <w:jc w:val="both"/>
              <w:rPr>
                <w:rFonts w:ascii="Arial" w:hAnsi="Arial" w:cs="Arial"/>
                <w:i/>
                <w:sz w:val="18"/>
                <w:szCs w:val="18"/>
                <w:highlight w:val="green"/>
              </w:rPr>
            </w:pPr>
            <w:r w:rsidRPr="006749F0">
              <w:rPr>
                <w:rFonts w:ascii="Arial" w:hAnsi="Arial" w:cs="Arial"/>
                <w:i/>
                <w:sz w:val="18"/>
                <w:szCs w:val="18"/>
                <w:highlight w:val="yellow"/>
              </w:rPr>
              <w:t>niedrig</w:t>
            </w:r>
            <w:r w:rsidR="00F60909">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24" w:type="dxa"/>
            <w:shd w:val="clear" w:color="auto" w:fill="DBE5F1" w:themeFill="accent1" w:themeFillTint="33"/>
          </w:tcPr>
          <w:p w14:paraId="49309858" w14:textId="77777777" w:rsidR="009872F3" w:rsidRPr="006749F0" w:rsidRDefault="009872F3" w:rsidP="008C30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2653" w:type="dxa"/>
            <w:shd w:val="clear" w:color="auto" w:fill="DBE5F1" w:themeFill="accent1" w:themeFillTint="33"/>
          </w:tcPr>
          <w:p w14:paraId="68514421" w14:textId="77777777" w:rsidR="009872F3" w:rsidRPr="009872F3" w:rsidRDefault="009872F3" w:rsidP="006749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006749F0" w:rsidRPr="006749F0">
              <w:rPr>
                <w:rFonts w:ascii="Arial" w:hAnsi="Arial" w:cs="Arial"/>
                <w:i/>
                <w:sz w:val="18"/>
                <w:szCs w:val="18"/>
                <w:highlight w:val="yellow"/>
              </w:rPr>
              <w:t>Jahr</w:t>
            </w:r>
          </w:p>
        </w:tc>
        <w:tc>
          <w:tcPr>
            <w:tcW w:w="2494" w:type="dxa"/>
            <w:shd w:val="clear" w:color="auto" w:fill="DBE5F1" w:themeFill="accent1" w:themeFillTint="33"/>
          </w:tcPr>
          <w:p w14:paraId="10AF9B54" w14:textId="77777777" w:rsidR="006749F0" w:rsidRDefault="009872F3" w:rsidP="006749F0">
            <w:pPr>
              <w:jc w:val="both"/>
              <w:rPr>
                <w:rFonts w:ascii="Arial" w:hAnsi="Arial" w:cs="Arial"/>
                <w:sz w:val="18"/>
                <w:szCs w:val="18"/>
                <w:highlight w:val="yellow"/>
              </w:rPr>
            </w:pPr>
            <w:r w:rsidRPr="009872F3">
              <w:rPr>
                <w:rFonts w:ascii="Arial" w:hAnsi="Arial" w:cs="Arial"/>
                <w:sz w:val="18"/>
                <w:szCs w:val="18"/>
              </w:rPr>
              <w:t>Kritische Beurteilung</w:t>
            </w:r>
            <w:r w:rsidR="006749F0">
              <w:rPr>
                <w:rFonts w:ascii="Arial" w:hAnsi="Arial" w:cs="Arial"/>
                <w:sz w:val="18"/>
                <w:szCs w:val="18"/>
              </w:rPr>
              <w:t>:</w:t>
            </w:r>
            <w:r w:rsidRPr="006749F0">
              <w:rPr>
                <w:rFonts w:ascii="Arial" w:hAnsi="Arial" w:cs="Arial"/>
                <w:sz w:val="18"/>
                <w:szCs w:val="18"/>
                <w:highlight w:val="yellow"/>
              </w:rPr>
              <w:t xml:space="preserve"> </w:t>
            </w:r>
          </w:p>
          <w:p w14:paraId="3BE6AA3A" w14:textId="77777777" w:rsidR="009872F3" w:rsidRPr="006749F0" w:rsidRDefault="009872F3" w:rsidP="006749F0">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3C6896">
        <w:trPr>
          <w:trHeight w:val="636"/>
        </w:trPr>
        <w:tc>
          <w:tcPr>
            <w:tcW w:w="9514" w:type="dxa"/>
            <w:gridSpan w:val="5"/>
            <w:shd w:val="clear" w:color="auto" w:fill="DBE5F1" w:themeFill="accent1" w:themeFillTint="33"/>
          </w:tcPr>
          <w:p w14:paraId="141FB123" w14:textId="77777777" w:rsidR="00D32831" w:rsidRPr="002B5AD4" w:rsidRDefault="00D32831" w:rsidP="00D32831">
            <w:pPr>
              <w:jc w:val="both"/>
              <w:rPr>
                <w:rFonts w:ascii="Arial" w:hAnsi="Arial" w:cs="Arial"/>
                <w:i/>
                <w:sz w:val="18"/>
                <w:szCs w:val="18"/>
              </w:rPr>
            </w:pPr>
            <w:r w:rsidRPr="002B5AD4">
              <w:rPr>
                <w:rFonts w:ascii="Arial" w:hAnsi="Arial" w:cs="Arial"/>
                <w:i/>
                <w:sz w:val="18"/>
                <w:szCs w:val="18"/>
              </w:rPr>
              <w:t xml:space="preserve">Referenzen (demonstrativ): </w:t>
            </w:r>
          </w:p>
          <w:p w14:paraId="0107BD1E" w14:textId="760B31D0" w:rsidR="005462CE" w:rsidRPr="002B5AD4" w:rsidRDefault="005462CE" w:rsidP="00C37D08">
            <w:pPr>
              <w:pStyle w:val="Listenabsatz"/>
              <w:numPr>
                <w:ilvl w:val="0"/>
                <w:numId w:val="9"/>
              </w:numPr>
              <w:ind w:left="308"/>
              <w:jc w:val="both"/>
              <w:rPr>
                <w:rFonts w:cs="Arial"/>
                <w:sz w:val="18"/>
                <w:szCs w:val="18"/>
              </w:rPr>
            </w:pPr>
            <w:r>
              <w:rPr>
                <w:rFonts w:cs="Arial"/>
                <w:sz w:val="18"/>
                <w:szCs w:val="18"/>
              </w:rPr>
              <w:t xml:space="preserve">Art. 39 und </w:t>
            </w:r>
            <w:r w:rsidR="005728E4" w:rsidRPr="002B5AD4">
              <w:rPr>
                <w:rFonts w:cs="Arial"/>
                <w:sz w:val="18"/>
                <w:szCs w:val="18"/>
              </w:rPr>
              <w:t>100</w:t>
            </w:r>
            <w:r w:rsidR="00D32831" w:rsidRPr="002B5AD4">
              <w:rPr>
                <w:rFonts w:cs="Arial"/>
                <w:sz w:val="18"/>
                <w:szCs w:val="18"/>
              </w:rPr>
              <w:t xml:space="preserve"> SAG</w:t>
            </w:r>
          </w:p>
          <w:p w14:paraId="11079986" w14:textId="1F848A9D" w:rsidR="004645FA" w:rsidRDefault="004645FA" w:rsidP="004645FA">
            <w:pPr>
              <w:pStyle w:val="Listenabsatz"/>
              <w:numPr>
                <w:ilvl w:val="0"/>
                <w:numId w:val="9"/>
              </w:numPr>
              <w:ind w:left="308"/>
              <w:jc w:val="both"/>
              <w:rPr>
                <w:rFonts w:cs="Arial"/>
                <w:sz w:val="18"/>
                <w:szCs w:val="18"/>
              </w:rPr>
            </w:pPr>
            <w:r w:rsidRPr="008165F5">
              <w:rPr>
                <w:rFonts w:cs="Arial"/>
                <w:sz w:val="18"/>
                <w:szCs w:val="18"/>
              </w:rPr>
              <w:t>Delegierte Verordnung (EU) 2016/1401 im Hinblick auf technische Regulierungsstandards für Methoden und Grundsätze der Bewertung von aus Derivaten entstehenden Verbindlichkeiten</w:t>
            </w:r>
            <w:r>
              <w:rPr>
                <w:rFonts w:cs="Arial"/>
                <w:sz w:val="18"/>
                <w:szCs w:val="18"/>
              </w:rPr>
              <w:t xml:space="preserve"> (</w:t>
            </w:r>
            <w:proofErr w:type="spellStart"/>
            <w:r w:rsidR="00BE3FD1">
              <w:rPr>
                <w:rFonts w:cs="Arial"/>
                <w:sz w:val="18"/>
                <w:szCs w:val="18"/>
              </w:rPr>
              <w:t>d</w:t>
            </w:r>
            <w:r>
              <w:rPr>
                <w:rFonts w:cs="Arial"/>
                <w:sz w:val="18"/>
                <w:szCs w:val="18"/>
              </w:rPr>
              <w:t>elVO</w:t>
            </w:r>
            <w:proofErr w:type="spellEnd"/>
            <w:r>
              <w:rPr>
                <w:rFonts w:cs="Arial"/>
                <w:sz w:val="18"/>
                <w:szCs w:val="18"/>
              </w:rPr>
              <w:t xml:space="preserve"> Derivate)</w:t>
            </w:r>
          </w:p>
          <w:p w14:paraId="475CCD3F" w14:textId="64E7DD87" w:rsidR="00355AD3" w:rsidRPr="002B5AD4" w:rsidRDefault="00355AD3" w:rsidP="00355AD3">
            <w:pPr>
              <w:pStyle w:val="Listenabsatz"/>
              <w:numPr>
                <w:ilvl w:val="0"/>
                <w:numId w:val="9"/>
              </w:numPr>
              <w:ind w:left="308"/>
              <w:jc w:val="both"/>
              <w:rPr>
                <w:rFonts w:cs="Arial"/>
                <w:sz w:val="18"/>
                <w:szCs w:val="18"/>
              </w:rPr>
            </w:pPr>
            <w:r w:rsidRPr="002B5AD4">
              <w:rPr>
                <w:rFonts w:cs="Arial"/>
                <w:sz w:val="18"/>
                <w:szCs w:val="18"/>
              </w:rPr>
              <w:t>Delegierte Verordnung (EU) 2018/344 der Kommission vom 14. November 2017 zur Ergänzung der Richtlinie 2014/59/EU des Europäischen Parlaments und des Rates im Hinblick auf technische Regulierungsstandards zur Festlegung der Kriterien für die Methoden zur Bewertung einer unterschiedlichen Behandlung bei der Abwicklung</w:t>
            </w:r>
            <w:r w:rsidR="004D2B47" w:rsidRPr="002B5AD4">
              <w:rPr>
                <w:rFonts w:cs="Arial"/>
                <w:sz w:val="18"/>
                <w:szCs w:val="18"/>
              </w:rPr>
              <w:t xml:space="preserve"> («delV</w:t>
            </w:r>
            <w:r w:rsidR="00355A55">
              <w:rPr>
                <w:rFonts w:cs="Arial"/>
                <w:sz w:val="18"/>
                <w:szCs w:val="18"/>
              </w:rPr>
              <w:t>O</w:t>
            </w:r>
            <w:r w:rsidR="004D2B47" w:rsidRPr="002B5AD4">
              <w:rPr>
                <w:rFonts w:cs="Arial"/>
                <w:sz w:val="18"/>
                <w:szCs w:val="18"/>
              </w:rPr>
              <w:t xml:space="preserve"> Bewertung»)</w:t>
            </w:r>
          </w:p>
          <w:p w14:paraId="1BCB43B2" w14:textId="44E247B2" w:rsidR="00EC4E7A" w:rsidRPr="002B5AD4" w:rsidRDefault="00EC4E7A" w:rsidP="00355AD3">
            <w:pPr>
              <w:pStyle w:val="Listenabsatz"/>
              <w:numPr>
                <w:ilvl w:val="0"/>
                <w:numId w:val="9"/>
              </w:numPr>
              <w:ind w:left="308"/>
              <w:jc w:val="both"/>
              <w:rPr>
                <w:rFonts w:cs="Arial"/>
                <w:sz w:val="18"/>
                <w:szCs w:val="18"/>
              </w:rPr>
            </w:pPr>
            <w:r w:rsidRPr="002B5AD4">
              <w:rPr>
                <w:rFonts w:cs="Arial"/>
                <w:sz w:val="18"/>
                <w:szCs w:val="18"/>
              </w:rPr>
              <w:t>Delegierte Verordnung (EU) 2018/345 der Kommission vom 14. November 2017 zur Ergänzung der Richtlinie 2014/59/EU des Europäischen Parlaments und des Rates durch technische Regulierungsstandards zur Präzisierung der Kriterien im Zusammenhang mit der Methode zur Bewertung der Vermögenswerte und Verbindlichkeiten von Instituten oder Unternehmen («delV</w:t>
            </w:r>
            <w:r w:rsidR="007924E5">
              <w:rPr>
                <w:rFonts w:cs="Arial"/>
                <w:sz w:val="18"/>
                <w:szCs w:val="18"/>
              </w:rPr>
              <w:t>O</w:t>
            </w:r>
            <w:r w:rsidRPr="002B5AD4">
              <w:rPr>
                <w:rFonts w:cs="Arial"/>
                <w:sz w:val="18"/>
                <w:szCs w:val="18"/>
              </w:rPr>
              <w:t xml:space="preserve"> Bewertung A/L»)</w:t>
            </w:r>
          </w:p>
          <w:p w14:paraId="30B63CA3" w14:textId="4FE86376" w:rsidR="002B5AD4" w:rsidRPr="0096765A" w:rsidRDefault="002B5AD4">
            <w:pPr>
              <w:pStyle w:val="Listenabsatz"/>
              <w:numPr>
                <w:ilvl w:val="0"/>
                <w:numId w:val="9"/>
              </w:numPr>
              <w:ind w:left="308"/>
              <w:jc w:val="both"/>
              <w:rPr>
                <w:rFonts w:cs="Arial"/>
                <w:sz w:val="18"/>
                <w:szCs w:val="18"/>
              </w:rPr>
            </w:pPr>
            <w:r w:rsidRPr="002B5AD4">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9872F3" w:rsidRPr="009872F3" w14:paraId="00EBC1AC" w14:textId="77777777" w:rsidTr="003C6896">
        <w:trPr>
          <w:trHeight w:val="294"/>
        </w:trPr>
        <w:tc>
          <w:tcPr>
            <w:tcW w:w="9514" w:type="dxa"/>
            <w:gridSpan w:val="5"/>
          </w:tcPr>
          <w:p w14:paraId="0A26788F" w14:textId="77777777" w:rsidR="009872F3" w:rsidRPr="002B5AD4" w:rsidRDefault="009872F3" w:rsidP="008C30D1">
            <w:pPr>
              <w:jc w:val="both"/>
              <w:rPr>
                <w:rFonts w:ascii="Arial" w:hAnsi="Arial" w:cs="Arial"/>
                <w:sz w:val="18"/>
                <w:szCs w:val="18"/>
              </w:rPr>
            </w:pPr>
          </w:p>
        </w:tc>
      </w:tr>
      <w:tr w:rsidR="00464587" w:rsidRPr="009872F3" w14:paraId="6001E7F1" w14:textId="77777777" w:rsidTr="0096765A">
        <w:trPr>
          <w:trHeight w:val="294"/>
        </w:trPr>
        <w:tc>
          <w:tcPr>
            <w:tcW w:w="617" w:type="dxa"/>
          </w:tcPr>
          <w:p w14:paraId="0FAE723A" w14:textId="354FBEEE" w:rsidR="00464587" w:rsidRPr="009872F3" w:rsidRDefault="00464587" w:rsidP="00464587">
            <w:pPr>
              <w:jc w:val="both"/>
              <w:rPr>
                <w:rFonts w:ascii="Arial" w:hAnsi="Arial" w:cs="Arial"/>
                <w:sz w:val="18"/>
                <w:szCs w:val="18"/>
              </w:rPr>
            </w:pPr>
            <w:r>
              <w:rPr>
                <w:rFonts w:ascii="Arial" w:hAnsi="Arial" w:cs="Arial"/>
                <w:sz w:val="18"/>
                <w:szCs w:val="18"/>
              </w:rPr>
              <w:t>1</w:t>
            </w:r>
          </w:p>
        </w:tc>
        <w:tc>
          <w:tcPr>
            <w:tcW w:w="6403" w:type="dxa"/>
            <w:gridSpan w:val="3"/>
          </w:tcPr>
          <w:p w14:paraId="3260C901" w14:textId="6434A5CB" w:rsidR="00464587" w:rsidRPr="002B5AD4" w:rsidRDefault="00464587" w:rsidP="00464587">
            <w:pPr>
              <w:jc w:val="both"/>
              <w:rPr>
                <w:rFonts w:ascii="Arial" w:hAnsi="Arial" w:cs="Arial"/>
                <w:sz w:val="18"/>
                <w:szCs w:val="18"/>
              </w:rPr>
            </w:pPr>
            <w:r w:rsidRPr="002B5AD4">
              <w:rPr>
                <w:rFonts w:ascii="Arial" w:hAnsi="Arial" w:cs="Arial"/>
                <w:sz w:val="18"/>
                <w:szCs w:val="18"/>
              </w:rPr>
              <w:t xml:space="preserve">Bestätigung, dass die internen Verfahren </w:t>
            </w:r>
            <w:r w:rsidR="00BD04AD" w:rsidRPr="002B5AD4">
              <w:rPr>
                <w:rFonts w:ascii="Arial" w:hAnsi="Arial" w:cs="Arial"/>
                <w:sz w:val="18"/>
                <w:szCs w:val="18"/>
              </w:rPr>
              <w:t xml:space="preserve">Mechanismen vorsehen, um </w:t>
            </w:r>
            <w:r w:rsidR="001E1439" w:rsidRPr="002B5AD4">
              <w:rPr>
                <w:rFonts w:ascii="Arial" w:hAnsi="Arial" w:cs="Arial"/>
                <w:sz w:val="18"/>
                <w:szCs w:val="18"/>
              </w:rPr>
              <w:t xml:space="preserve">im Bedarfsfall </w:t>
            </w:r>
            <w:r w:rsidR="00BD04AD" w:rsidRPr="002B5AD4">
              <w:rPr>
                <w:rFonts w:ascii="Arial" w:hAnsi="Arial" w:cs="Arial"/>
                <w:sz w:val="18"/>
                <w:szCs w:val="18"/>
              </w:rPr>
              <w:t>einen</w:t>
            </w:r>
            <w:r w:rsidR="00282A38" w:rsidRPr="002B5AD4">
              <w:rPr>
                <w:rFonts w:ascii="Arial" w:hAnsi="Arial" w:cs="Arial"/>
                <w:sz w:val="18"/>
                <w:szCs w:val="18"/>
              </w:rPr>
              <w:t xml:space="preserve"> </w:t>
            </w:r>
            <w:r w:rsidRPr="002B5AD4">
              <w:rPr>
                <w:rFonts w:ascii="Arial" w:hAnsi="Arial" w:cs="Arial"/>
                <w:sz w:val="18"/>
                <w:szCs w:val="18"/>
              </w:rPr>
              <w:t xml:space="preserve">Ausfall oder wahrscheinlichen Ausfall des Unternehmens nach Art. 39 SAG </w:t>
            </w:r>
            <w:r w:rsidR="00282A38" w:rsidRPr="002B5AD4">
              <w:rPr>
                <w:rFonts w:ascii="Arial" w:hAnsi="Arial" w:cs="Arial"/>
                <w:sz w:val="18"/>
                <w:szCs w:val="18"/>
              </w:rPr>
              <w:t>zu identifizieren</w:t>
            </w:r>
            <w:r w:rsidR="00AA0EBD" w:rsidRPr="002B5AD4">
              <w:rPr>
                <w:rFonts w:ascii="Arial" w:hAnsi="Arial" w:cs="Arial"/>
                <w:sz w:val="18"/>
                <w:szCs w:val="18"/>
              </w:rPr>
              <w:t xml:space="preserve"> und eine</w:t>
            </w:r>
            <w:r w:rsidRPr="002B5AD4">
              <w:rPr>
                <w:rFonts w:ascii="Arial" w:hAnsi="Arial" w:cs="Arial"/>
                <w:sz w:val="18"/>
                <w:szCs w:val="18"/>
              </w:rPr>
              <w:t xml:space="preserve"> unverzügliche Anzeige an die FMA </w:t>
            </w:r>
            <w:r w:rsidR="00D852F8" w:rsidRPr="002B5AD4">
              <w:rPr>
                <w:rFonts w:ascii="Arial" w:hAnsi="Arial" w:cs="Arial"/>
                <w:sz w:val="18"/>
                <w:szCs w:val="18"/>
              </w:rPr>
              <w:t xml:space="preserve">zu </w:t>
            </w:r>
            <w:r w:rsidR="009A4282" w:rsidRPr="002B5AD4">
              <w:rPr>
                <w:rFonts w:ascii="Arial" w:hAnsi="Arial" w:cs="Arial"/>
                <w:sz w:val="18"/>
                <w:szCs w:val="18"/>
              </w:rPr>
              <w:t>ermöglichen</w:t>
            </w:r>
            <w:r w:rsidR="00D75EF2" w:rsidRPr="002B5AD4">
              <w:rPr>
                <w:rFonts w:ascii="Arial" w:hAnsi="Arial" w:cs="Arial"/>
                <w:sz w:val="18"/>
                <w:szCs w:val="18"/>
              </w:rPr>
              <w:t xml:space="preserve"> </w:t>
            </w:r>
            <w:r w:rsidRPr="002B5AD4">
              <w:rPr>
                <w:rFonts w:ascii="Arial" w:hAnsi="Arial" w:cs="Arial"/>
                <w:sz w:val="18"/>
                <w:szCs w:val="18"/>
              </w:rPr>
              <w:t xml:space="preserve">(Art. 100 Abs. 1 SAG).   </w:t>
            </w:r>
          </w:p>
        </w:tc>
        <w:tc>
          <w:tcPr>
            <w:tcW w:w="2494" w:type="dxa"/>
          </w:tcPr>
          <w:p w14:paraId="2B9075BF" w14:textId="206D8DB2" w:rsidR="00464587" w:rsidRPr="009872F3" w:rsidRDefault="00464587" w:rsidP="00464587">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C6896" w:rsidRPr="009872F3" w14:paraId="602D803F" w14:textId="77777777" w:rsidTr="0096765A">
        <w:trPr>
          <w:trHeight w:val="294"/>
        </w:trPr>
        <w:tc>
          <w:tcPr>
            <w:tcW w:w="617" w:type="dxa"/>
          </w:tcPr>
          <w:p w14:paraId="061EBDBB" w14:textId="5A282B4E" w:rsidR="003C6896" w:rsidRPr="009872F3" w:rsidRDefault="003C6896" w:rsidP="003C6896">
            <w:pPr>
              <w:jc w:val="both"/>
              <w:rPr>
                <w:rFonts w:ascii="Arial" w:hAnsi="Arial" w:cs="Arial"/>
                <w:sz w:val="18"/>
                <w:szCs w:val="18"/>
              </w:rPr>
            </w:pPr>
            <w:r>
              <w:rPr>
                <w:rFonts w:ascii="Arial" w:hAnsi="Arial" w:cs="Arial"/>
                <w:sz w:val="18"/>
                <w:szCs w:val="18"/>
              </w:rPr>
              <w:t>2</w:t>
            </w:r>
          </w:p>
        </w:tc>
        <w:tc>
          <w:tcPr>
            <w:tcW w:w="6403" w:type="dxa"/>
            <w:gridSpan w:val="3"/>
          </w:tcPr>
          <w:p w14:paraId="6461561F" w14:textId="4356FB2B" w:rsidR="003C6896" w:rsidRPr="009872F3" w:rsidRDefault="003C6896" w:rsidP="003C6896">
            <w:pPr>
              <w:jc w:val="both"/>
              <w:rPr>
                <w:rFonts w:ascii="Arial" w:hAnsi="Arial" w:cs="Arial"/>
                <w:sz w:val="18"/>
                <w:szCs w:val="18"/>
              </w:rPr>
            </w:pPr>
            <w:r w:rsidRPr="008817A9">
              <w:rPr>
                <w:rFonts w:ascii="Arial" w:hAnsi="Arial" w:cs="Arial"/>
                <w:sz w:val="18"/>
                <w:szCs w:val="18"/>
              </w:rPr>
              <w:t>Bestätigung, dass die internen Verfahren</w:t>
            </w:r>
            <w:r>
              <w:rPr>
                <w:rFonts w:ascii="Arial" w:hAnsi="Arial" w:cs="Arial"/>
                <w:sz w:val="18"/>
                <w:szCs w:val="18"/>
              </w:rPr>
              <w:t xml:space="preserve"> eine Bewertung </w:t>
            </w:r>
            <w:r w:rsidR="00C93AFC">
              <w:rPr>
                <w:rFonts w:ascii="Arial" w:hAnsi="Arial" w:cs="Arial"/>
                <w:sz w:val="18"/>
                <w:szCs w:val="18"/>
              </w:rPr>
              <w:t xml:space="preserve">aller </w:t>
            </w:r>
            <w:r>
              <w:rPr>
                <w:rFonts w:ascii="Arial" w:hAnsi="Arial" w:cs="Arial"/>
                <w:sz w:val="18"/>
                <w:szCs w:val="18"/>
              </w:rPr>
              <w:t>Bilanzposten nach Liquidationswerten</w:t>
            </w:r>
            <w:r w:rsidR="00DA2155">
              <w:rPr>
                <w:rFonts w:ascii="Arial" w:hAnsi="Arial" w:cs="Arial"/>
                <w:sz w:val="18"/>
                <w:szCs w:val="18"/>
              </w:rPr>
              <w:t>, einschliesslich Rangfolge in der Insolvenz, Saldierungsoptionen (Netting) und etwaiger Aussonderungs- und Absonderungsrechte</w:t>
            </w:r>
            <w:r w:rsidR="00C93AFC">
              <w:rPr>
                <w:rFonts w:ascii="Arial" w:hAnsi="Arial" w:cs="Arial"/>
                <w:sz w:val="18"/>
                <w:szCs w:val="18"/>
              </w:rPr>
              <w:t>,</w:t>
            </w:r>
            <w:r>
              <w:rPr>
                <w:rFonts w:ascii="Arial" w:hAnsi="Arial" w:cs="Arial"/>
                <w:sz w:val="18"/>
                <w:szCs w:val="18"/>
              </w:rPr>
              <w:t xml:space="preserve"> insbesondere aufgeschlüsselt nach Werthaltigkeit und Liquidierbarkeit, ermöglichen.</w:t>
            </w:r>
          </w:p>
        </w:tc>
        <w:tc>
          <w:tcPr>
            <w:tcW w:w="2494" w:type="dxa"/>
          </w:tcPr>
          <w:p w14:paraId="0531BD08" w14:textId="33F7E049" w:rsidR="003C6896" w:rsidRPr="009872F3" w:rsidRDefault="003C6896" w:rsidP="003C6896">
            <w:pPr>
              <w:jc w:val="both"/>
              <w:rPr>
                <w:rFonts w:ascii="Arial" w:hAnsi="Arial" w:cs="Arial"/>
                <w:sz w:val="18"/>
                <w:szCs w:val="18"/>
              </w:rPr>
            </w:pPr>
            <w:r w:rsidRPr="009A4282">
              <w:rPr>
                <w:rFonts w:ascii="Arial" w:hAnsi="Arial" w:cs="Arial"/>
                <w:i/>
                <w:sz w:val="18"/>
                <w:szCs w:val="18"/>
                <w:highlight w:val="yellow"/>
              </w:rPr>
              <w:t>Ja (Detailprüfung / Kritische Beurteilung) / Nein</w:t>
            </w:r>
          </w:p>
        </w:tc>
      </w:tr>
      <w:tr w:rsidR="003C6896" w:rsidRPr="009872F3" w14:paraId="6A7F16DA" w14:textId="77777777" w:rsidTr="0096765A">
        <w:trPr>
          <w:trHeight w:val="294"/>
        </w:trPr>
        <w:tc>
          <w:tcPr>
            <w:tcW w:w="617" w:type="dxa"/>
          </w:tcPr>
          <w:p w14:paraId="27C4A845" w14:textId="2B9A5E7F" w:rsidR="003C6896" w:rsidRPr="009872F3" w:rsidRDefault="00DA2155" w:rsidP="003C6896">
            <w:pPr>
              <w:jc w:val="both"/>
              <w:rPr>
                <w:rFonts w:ascii="Arial" w:hAnsi="Arial" w:cs="Arial"/>
                <w:sz w:val="18"/>
                <w:szCs w:val="18"/>
              </w:rPr>
            </w:pPr>
            <w:r>
              <w:rPr>
                <w:rFonts w:ascii="Arial" w:hAnsi="Arial" w:cs="Arial"/>
                <w:sz w:val="18"/>
                <w:szCs w:val="18"/>
              </w:rPr>
              <w:t>3</w:t>
            </w:r>
          </w:p>
        </w:tc>
        <w:tc>
          <w:tcPr>
            <w:tcW w:w="6403" w:type="dxa"/>
            <w:gridSpan w:val="3"/>
          </w:tcPr>
          <w:p w14:paraId="3E782CB1" w14:textId="597CCEF3" w:rsidR="003C6896" w:rsidRPr="009872F3" w:rsidRDefault="003C6896" w:rsidP="003C6896">
            <w:pPr>
              <w:jc w:val="both"/>
              <w:rPr>
                <w:rFonts w:ascii="Arial" w:hAnsi="Arial" w:cs="Arial"/>
                <w:sz w:val="18"/>
                <w:szCs w:val="18"/>
              </w:rPr>
            </w:pPr>
            <w:r w:rsidRPr="008817A9">
              <w:rPr>
                <w:rFonts w:ascii="Arial" w:hAnsi="Arial" w:cs="Arial"/>
                <w:sz w:val="18"/>
                <w:szCs w:val="18"/>
              </w:rPr>
              <w:t xml:space="preserve">Bestätigung, dass die internen Verfahren </w:t>
            </w:r>
            <w:r>
              <w:rPr>
                <w:rFonts w:ascii="Arial" w:hAnsi="Arial" w:cs="Arial"/>
                <w:sz w:val="18"/>
                <w:szCs w:val="18"/>
              </w:rPr>
              <w:t xml:space="preserve">im Bedarfsfall eine </w:t>
            </w:r>
            <w:r w:rsidRPr="00C153E2">
              <w:rPr>
                <w:rFonts w:ascii="Arial" w:hAnsi="Arial" w:cs="Arial"/>
                <w:sz w:val="18"/>
                <w:szCs w:val="18"/>
              </w:rPr>
              <w:t>Schätzung von Insolvenzkosten nach unterschiedlichen Szenarien</w:t>
            </w:r>
            <w:r>
              <w:rPr>
                <w:rFonts w:ascii="Arial" w:hAnsi="Arial" w:cs="Arial"/>
                <w:sz w:val="18"/>
                <w:szCs w:val="18"/>
              </w:rPr>
              <w:t xml:space="preserve"> ermöglichen.</w:t>
            </w:r>
          </w:p>
        </w:tc>
        <w:tc>
          <w:tcPr>
            <w:tcW w:w="2494" w:type="dxa"/>
          </w:tcPr>
          <w:p w14:paraId="23576309" w14:textId="66C55334" w:rsidR="003C6896" w:rsidRPr="009872F3" w:rsidRDefault="003C6896" w:rsidP="003C689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0D43A34" w14:textId="003F0763" w:rsidR="0068698D" w:rsidRDefault="0068698D" w:rsidP="00A243A0">
      <w:pPr>
        <w:jc w:val="both"/>
        <w:rPr>
          <w:rFonts w:ascii="Arial" w:hAnsi="Arial" w:cs="Arial"/>
          <w:i/>
          <w:sz w:val="20"/>
          <w:szCs w:val="20"/>
        </w:rPr>
      </w:pPr>
    </w:p>
    <w:tbl>
      <w:tblPr>
        <w:tblStyle w:val="Tabellenraster"/>
        <w:tblW w:w="0" w:type="auto"/>
        <w:tblLayout w:type="fixed"/>
        <w:tblLook w:val="04A0" w:firstRow="1" w:lastRow="0" w:firstColumn="1" w:lastColumn="0" w:noHBand="0" w:noVBand="1"/>
      </w:tblPr>
      <w:tblGrid>
        <w:gridCol w:w="2655"/>
        <w:gridCol w:w="6833"/>
      </w:tblGrid>
      <w:tr w:rsidR="00985F22" w:rsidRPr="002D0096" w14:paraId="198330B4"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32F111CD" w14:textId="77777777" w:rsidR="00985F22" w:rsidRPr="002D0096" w:rsidRDefault="00985F22" w:rsidP="00387D17">
            <w:pPr>
              <w:jc w:val="both"/>
              <w:rPr>
                <w:rFonts w:ascii="Arial" w:eastAsia="Arial" w:hAnsi="Arial" w:cs="Arial"/>
                <w:b/>
                <w:bCs/>
                <w:i/>
                <w:iCs/>
                <w:sz w:val="18"/>
                <w:szCs w:val="18"/>
              </w:rPr>
            </w:pPr>
            <w:r w:rsidRPr="002D0096">
              <w:rPr>
                <w:rFonts w:ascii="Arial" w:eastAsia="Arial" w:hAnsi="Arial" w:cs="Arial"/>
                <w:b/>
                <w:bCs/>
                <w:i/>
                <w:iCs/>
                <w:sz w:val="18"/>
                <w:szCs w:val="18"/>
              </w:rPr>
              <w:t>Prüfelemente</w:t>
            </w:r>
          </w:p>
        </w:tc>
        <w:tc>
          <w:tcPr>
            <w:tcW w:w="6833" w:type="dxa"/>
            <w:tcBorders>
              <w:top w:val="single" w:sz="8" w:space="0" w:color="auto"/>
              <w:left w:val="single" w:sz="8" w:space="0" w:color="auto"/>
              <w:bottom w:val="single" w:sz="8" w:space="0" w:color="auto"/>
              <w:right w:val="single" w:sz="8" w:space="0" w:color="auto"/>
            </w:tcBorders>
            <w:tcMar>
              <w:left w:w="108" w:type="dxa"/>
              <w:right w:w="108" w:type="dxa"/>
            </w:tcMar>
          </w:tcPr>
          <w:p w14:paraId="6544BFE9" w14:textId="77777777" w:rsidR="00985F22" w:rsidRPr="002D0096" w:rsidRDefault="00985F22" w:rsidP="00387D17">
            <w:pPr>
              <w:jc w:val="both"/>
              <w:rPr>
                <w:rFonts w:ascii="Arial" w:eastAsia="Arial" w:hAnsi="Arial" w:cs="Arial"/>
                <w:b/>
                <w:bCs/>
                <w:i/>
                <w:iCs/>
                <w:sz w:val="18"/>
                <w:szCs w:val="18"/>
              </w:rPr>
            </w:pPr>
            <w:r w:rsidRPr="002D0096">
              <w:rPr>
                <w:rFonts w:ascii="Arial" w:eastAsia="Arial" w:hAnsi="Arial" w:cs="Arial"/>
                <w:b/>
                <w:bCs/>
                <w:i/>
                <w:iCs/>
                <w:sz w:val="18"/>
                <w:szCs w:val="18"/>
              </w:rPr>
              <w:t>Mindestprüfinhalt</w:t>
            </w:r>
            <w:r w:rsidRPr="002D0096">
              <w:rPr>
                <w:rFonts w:ascii="Arial" w:hAnsi="Arial" w:cs="Arial"/>
                <w:b/>
                <w:bCs/>
                <w:i/>
                <w:iCs/>
                <w:sz w:val="18"/>
                <w:szCs w:val="18"/>
              </w:rPr>
              <w:t>e («Muster»)</w:t>
            </w:r>
          </w:p>
        </w:tc>
      </w:tr>
      <w:tr w:rsidR="00985F22" w:rsidRPr="002D0096" w14:paraId="3611E952"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58F021CF" w14:textId="54A3411E" w:rsidR="00985F22" w:rsidRPr="002D0096" w:rsidRDefault="002300D9" w:rsidP="00387D17">
            <w:pPr>
              <w:jc w:val="both"/>
              <w:rPr>
                <w:rFonts w:ascii="Arial" w:eastAsia="Arial" w:hAnsi="Arial" w:cs="Arial"/>
                <w:i/>
                <w:iCs/>
                <w:sz w:val="18"/>
                <w:szCs w:val="18"/>
              </w:rPr>
            </w:pPr>
            <w:r>
              <w:rPr>
                <w:rFonts w:ascii="Arial" w:eastAsia="Arial" w:hAnsi="Arial" w:cs="Arial"/>
                <w:i/>
                <w:iCs/>
                <w:sz w:val="18"/>
                <w:szCs w:val="18"/>
              </w:rPr>
              <w:t xml:space="preserve">Interne Organisation </w:t>
            </w:r>
          </w:p>
        </w:tc>
        <w:tc>
          <w:tcPr>
            <w:tcW w:w="6833" w:type="dxa"/>
            <w:tcBorders>
              <w:top w:val="single" w:sz="8" w:space="0" w:color="auto"/>
              <w:left w:val="single" w:sz="8" w:space="0" w:color="auto"/>
              <w:bottom w:val="single" w:sz="8" w:space="0" w:color="auto"/>
              <w:right w:val="single" w:sz="8" w:space="0" w:color="auto"/>
            </w:tcBorders>
            <w:tcMar>
              <w:left w:w="108" w:type="dxa"/>
              <w:right w:w="108" w:type="dxa"/>
            </w:tcMar>
          </w:tcPr>
          <w:p w14:paraId="3D7469F6" w14:textId="58CC9572" w:rsidR="000E0C2B" w:rsidRPr="00387D17" w:rsidRDefault="00A011ED" w:rsidP="00C37D08">
            <w:pPr>
              <w:pStyle w:val="Listenabsatz"/>
              <w:numPr>
                <w:ilvl w:val="1"/>
                <w:numId w:val="10"/>
              </w:numPr>
              <w:spacing w:line="259" w:lineRule="auto"/>
              <w:ind w:left="317" w:hanging="283"/>
              <w:jc w:val="both"/>
              <w:rPr>
                <w:rFonts w:cs="Arial"/>
                <w:i/>
                <w:iCs/>
                <w:sz w:val="18"/>
                <w:szCs w:val="18"/>
              </w:rPr>
            </w:pPr>
            <w:r w:rsidRPr="00C3378F">
              <w:rPr>
                <w:rFonts w:cs="Arial"/>
                <w:i/>
                <w:iCs/>
                <w:sz w:val="18"/>
                <w:szCs w:val="18"/>
              </w:rPr>
              <w:t xml:space="preserve">Die interne Organisationsstruktur </w:t>
            </w:r>
            <w:r w:rsidR="00477FD9" w:rsidRPr="00C3378F">
              <w:rPr>
                <w:rFonts w:cs="Arial"/>
                <w:i/>
                <w:iCs/>
                <w:sz w:val="18"/>
                <w:szCs w:val="18"/>
              </w:rPr>
              <w:t>(</w:t>
            </w:r>
            <w:r w:rsidR="005B1BC4" w:rsidRPr="00C3378F">
              <w:rPr>
                <w:rFonts w:cs="Arial"/>
                <w:i/>
                <w:iCs/>
                <w:sz w:val="18"/>
                <w:szCs w:val="18"/>
              </w:rPr>
              <w:t xml:space="preserve">z.B. </w:t>
            </w:r>
            <w:r w:rsidR="00477FD9" w:rsidRPr="00C3378F">
              <w:rPr>
                <w:rFonts w:cs="Arial"/>
                <w:i/>
                <w:iCs/>
                <w:sz w:val="18"/>
                <w:szCs w:val="18"/>
              </w:rPr>
              <w:t xml:space="preserve">Weisungswesen, </w:t>
            </w:r>
            <w:r w:rsidR="005B1BC4" w:rsidRPr="00E40100">
              <w:rPr>
                <w:rFonts w:cs="Arial"/>
                <w:i/>
                <w:iCs/>
                <w:sz w:val="18"/>
                <w:szCs w:val="18"/>
              </w:rPr>
              <w:t>technische</w:t>
            </w:r>
            <w:r w:rsidR="00312707">
              <w:rPr>
                <w:rFonts w:cs="Arial"/>
                <w:i/>
                <w:iCs/>
                <w:sz w:val="18"/>
                <w:szCs w:val="18"/>
              </w:rPr>
              <w:t xml:space="preserve">, </w:t>
            </w:r>
            <w:r w:rsidR="005B1BC4" w:rsidRPr="00501D7B">
              <w:rPr>
                <w:rFonts w:cs="Arial"/>
                <w:i/>
                <w:iCs/>
                <w:sz w:val="18"/>
                <w:szCs w:val="18"/>
              </w:rPr>
              <w:t xml:space="preserve">personelle </w:t>
            </w:r>
            <w:r w:rsidR="00124FF6" w:rsidRPr="00E40100">
              <w:rPr>
                <w:rFonts w:cs="Arial"/>
                <w:i/>
                <w:iCs/>
                <w:sz w:val="18"/>
                <w:szCs w:val="18"/>
              </w:rPr>
              <w:t xml:space="preserve">und fachliche </w:t>
            </w:r>
            <w:r w:rsidR="005B1BC4" w:rsidRPr="00E40100">
              <w:rPr>
                <w:rFonts w:cs="Arial"/>
                <w:i/>
                <w:iCs/>
                <w:sz w:val="18"/>
                <w:szCs w:val="18"/>
              </w:rPr>
              <w:t>Ressourcen) stell</w:t>
            </w:r>
            <w:r w:rsidR="006813DD">
              <w:rPr>
                <w:rFonts w:cs="Arial"/>
                <w:i/>
                <w:iCs/>
                <w:sz w:val="18"/>
                <w:szCs w:val="18"/>
              </w:rPr>
              <w:t>t</w:t>
            </w:r>
            <w:r w:rsidR="005B1BC4" w:rsidRPr="00387D17">
              <w:rPr>
                <w:rFonts w:cs="Arial"/>
                <w:i/>
                <w:iCs/>
                <w:sz w:val="18"/>
                <w:szCs w:val="18"/>
              </w:rPr>
              <w:t xml:space="preserve"> </w:t>
            </w:r>
            <w:r w:rsidRPr="00387D17">
              <w:rPr>
                <w:rFonts w:cs="Arial"/>
                <w:i/>
                <w:iCs/>
                <w:sz w:val="18"/>
                <w:szCs w:val="18"/>
              </w:rPr>
              <w:t xml:space="preserve">sicher, dass Verfahren existieren, welche </w:t>
            </w:r>
            <w:r w:rsidR="00985F22" w:rsidRPr="00387D17">
              <w:rPr>
                <w:rFonts w:cs="Arial"/>
                <w:i/>
                <w:iCs/>
                <w:sz w:val="18"/>
                <w:szCs w:val="18"/>
              </w:rPr>
              <w:t>einen Ausfall oder wahrscheinlichen Ausfall identifizieren</w:t>
            </w:r>
          </w:p>
        </w:tc>
      </w:tr>
      <w:tr w:rsidR="00985F22" w:rsidRPr="002D0096" w14:paraId="1569C41F"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830B84B" w14:textId="3B8E1EB7" w:rsidR="00985F22" w:rsidRPr="00B3666B" w:rsidRDefault="00CF2E9C" w:rsidP="00387D17">
            <w:pPr>
              <w:jc w:val="both"/>
              <w:rPr>
                <w:rFonts w:ascii="Arial" w:eastAsia="Arial" w:hAnsi="Arial" w:cs="Arial"/>
                <w:i/>
                <w:iCs/>
                <w:sz w:val="18"/>
                <w:szCs w:val="18"/>
              </w:rPr>
            </w:pPr>
            <w:r w:rsidRPr="00B3666B">
              <w:rPr>
                <w:rFonts w:ascii="Arial" w:eastAsia="Arial" w:hAnsi="Arial" w:cs="Arial"/>
                <w:i/>
                <w:iCs/>
                <w:sz w:val="18"/>
                <w:szCs w:val="18"/>
              </w:rPr>
              <w:t>Internes Kontrollsystem</w:t>
            </w:r>
            <w:r w:rsidR="005629EF" w:rsidRPr="00B3666B">
              <w:rPr>
                <w:rFonts w:ascii="Arial" w:eastAsia="Arial" w:hAnsi="Arial" w:cs="Arial"/>
                <w:i/>
                <w:iCs/>
                <w:sz w:val="18"/>
                <w:szCs w:val="18"/>
              </w:rPr>
              <w:t>, Prozesse und Berichterstattung</w:t>
            </w:r>
          </w:p>
        </w:tc>
        <w:tc>
          <w:tcPr>
            <w:tcW w:w="6833" w:type="dxa"/>
            <w:tcBorders>
              <w:top w:val="single" w:sz="8" w:space="0" w:color="auto"/>
              <w:left w:val="single" w:sz="8" w:space="0" w:color="auto"/>
              <w:bottom w:val="single" w:sz="8" w:space="0" w:color="auto"/>
              <w:right w:val="single" w:sz="8" w:space="0" w:color="auto"/>
            </w:tcBorders>
            <w:tcMar>
              <w:left w:w="108" w:type="dxa"/>
              <w:right w:w="108" w:type="dxa"/>
            </w:tcMar>
          </w:tcPr>
          <w:p w14:paraId="6DC3DA9A" w14:textId="03688AB9" w:rsidR="000E0C2B" w:rsidRPr="00B3666B" w:rsidRDefault="000E0C2B" w:rsidP="00C37D08">
            <w:pPr>
              <w:pStyle w:val="Listenabsatz"/>
              <w:numPr>
                <w:ilvl w:val="1"/>
                <w:numId w:val="10"/>
              </w:numPr>
              <w:spacing w:line="259" w:lineRule="auto"/>
              <w:ind w:left="317" w:hanging="283"/>
              <w:jc w:val="both"/>
              <w:rPr>
                <w:i/>
                <w:iCs/>
                <w:sz w:val="18"/>
                <w:szCs w:val="18"/>
              </w:rPr>
            </w:pPr>
            <w:r w:rsidRPr="00B3666B">
              <w:rPr>
                <w:i/>
                <w:iCs/>
                <w:sz w:val="18"/>
                <w:szCs w:val="18"/>
              </w:rPr>
              <w:t xml:space="preserve">Die internen Verfahren sehen die Anwendung des 4-Augen-Prinzips </w:t>
            </w:r>
            <w:r w:rsidR="000C78B0">
              <w:rPr>
                <w:i/>
                <w:iCs/>
                <w:sz w:val="18"/>
                <w:szCs w:val="18"/>
              </w:rPr>
              <w:t>bzw.</w:t>
            </w:r>
            <w:r w:rsidR="000C78B0" w:rsidRPr="00B3666B">
              <w:rPr>
                <w:i/>
                <w:iCs/>
                <w:sz w:val="18"/>
                <w:szCs w:val="18"/>
              </w:rPr>
              <w:t xml:space="preserve"> </w:t>
            </w:r>
            <w:r w:rsidRPr="00B3666B">
              <w:rPr>
                <w:i/>
                <w:iCs/>
                <w:sz w:val="18"/>
                <w:szCs w:val="18"/>
              </w:rPr>
              <w:t>Funktionstrennung bei Schlüsselkontrollen vor</w:t>
            </w:r>
          </w:p>
          <w:p w14:paraId="139EB7B8" w14:textId="77777777" w:rsidR="00282794" w:rsidRPr="00B3666B" w:rsidRDefault="00282794" w:rsidP="00282794">
            <w:pPr>
              <w:pStyle w:val="Listenabsatz"/>
              <w:numPr>
                <w:ilvl w:val="1"/>
                <w:numId w:val="10"/>
              </w:numPr>
              <w:spacing w:line="259" w:lineRule="auto"/>
              <w:ind w:left="317" w:hanging="283"/>
              <w:jc w:val="both"/>
              <w:rPr>
                <w:i/>
                <w:iCs/>
                <w:sz w:val="18"/>
                <w:szCs w:val="18"/>
              </w:rPr>
            </w:pPr>
            <w:r>
              <w:rPr>
                <w:i/>
                <w:iCs/>
                <w:sz w:val="18"/>
                <w:szCs w:val="18"/>
              </w:rPr>
              <w:t>D</w:t>
            </w:r>
            <w:r w:rsidRPr="00B3666B">
              <w:rPr>
                <w:i/>
                <w:iCs/>
                <w:sz w:val="18"/>
                <w:szCs w:val="18"/>
              </w:rPr>
              <w:t xml:space="preserve">atenqualitätssichernde </w:t>
            </w:r>
            <w:r>
              <w:rPr>
                <w:i/>
                <w:iCs/>
                <w:sz w:val="18"/>
                <w:szCs w:val="18"/>
              </w:rPr>
              <w:t>Kontrollen</w:t>
            </w:r>
            <w:r w:rsidRPr="00B3666B">
              <w:rPr>
                <w:i/>
                <w:iCs/>
                <w:sz w:val="18"/>
                <w:szCs w:val="18"/>
              </w:rPr>
              <w:t xml:space="preserve"> </w:t>
            </w:r>
            <w:r>
              <w:rPr>
                <w:i/>
                <w:iCs/>
                <w:sz w:val="18"/>
                <w:szCs w:val="18"/>
              </w:rPr>
              <w:t>sind definiert</w:t>
            </w:r>
          </w:p>
          <w:p w14:paraId="17B5A864" w14:textId="75C3C4B3" w:rsidR="008275D4" w:rsidRPr="00B3666B" w:rsidRDefault="00C91A36" w:rsidP="00C37D08">
            <w:pPr>
              <w:pStyle w:val="Listenabsatz"/>
              <w:numPr>
                <w:ilvl w:val="1"/>
                <w:numId w:val="10"/>
              </w:numPr>
              <w:spacing w:line="259" w:lineRule="auto"/>
              <w:ind w:left="317" w:hanging="283"/>
              <w:jc w:val="both"/>
              <w:rPr>
                <w:rFonts w:cs="Arial"/>
                <w:i/>
                <w:iCs/>
                <w:sz w:val="18"/>
                <w:szCs w:val="18"/>
              </w:rPr>
            </w:pPr>
            <w:r w:rsidRPr="00B3666B">
              <w:rPr>
                <w:rFonts w:cs="Arial"/>
                <w:i/>
                <w:iCs/>
                <w:sz w:val="18"/>
                <w:szCs w:val="18"/>
              </w:rPr>
              <w:t xml:space="preserve">Die internen Strukturen sehen bei einem Ausfall oder wahrscheinlichen Ausfall eine zeitnahe Anzeige an die FMA vor </w:t>
            </w:r>
          </w:p>
          <w:p w14:paraId="301AF65B" w14:textId="1A1E75F1" w:rsidR="0030462C" w:rsidRPr="00C37D08" w:rsidRDefault="00C91A36" w:rsidP="00C153E2">
            <w:pPr>
              <w:pStyle w:val="Listenabsatz"/>
              <w:numPr>
                <w:ilvl w:val="1"/>
                <w:numId w:val="10"/>
              </w:numPr>
              <w:spacing w:line="259" w:lineRule="auto"/>
              <w:ind w:left="317" w:hanging="283"/>
              <w:jc w:val="both"/>
              <w:rPr>
                <w:rFonts w:cs="Arial"/>
              </w:rPr>
            </w:pPr>
            <w:r w:rsidRPr="00B3666B">
              <w:rPr>
                <w:i/>
                <w:iCs/>
                <w:sz w:val="18"/>
                <w:szCs w:val="18"/>
              </w:rPr>
              <w:t>Interne Verfahren sehen die Schätzung von Insolvenzkosten nach unterschiedlichen Szenarien sowie des Unternehmenswerts vor</w:t>
            </w:r>
          </w:p>
        </w:tc>
      </w:tr>
    </w:tbl>
    <w:p w14:paraId="17E97DEA" w14:textId="4A8C6C3A" w:rsidR="105E438B" w:rsidRDefault="105E438B" w:rsidP="105E438B">
      <w:pPr>
        <w:jc w:val="both"/>
        <w:rPr>
          <w:rFonts w:ascii="Arial" w:hAnsi="Arial" w:cs="Arial"/>
          <w:i/>
          <w:iCs/>
          <w:sz w:val="20"/>
          <w:szCs w:val="20"/>
        </w:rPr>
      </w:pPr>
    </w:p>
    <w:p w14:paraId="5BA4CC53" w14:textId="247E9993" w:rsidR="00E3235F" w:rsidRDefault="00E3235F" w:rsidP="00C37D08">
      <w:pPr>
        <w:pStyle w:val="FINMAGliederungEbene2"/>
      </w:pPr>
      <w:bookmarkStart w:id="14" w:name="_Toc147141447"/>
      <w:r w:rsidRPr="00E3235F">
        <w:t>Zahlungsmoratorium</w:t>
      </w:r>
      <w:bookmarkEnd w:id="14"/>
    </w:p>
    <w:p w14:paraId="27D65679" w14:textId="77777777" w:rsidR="00E3235F" w:rsidRPr="006067FE" w:rsidRDefault="00E3235F" w:rsidP="00E3235F">
      <w:pPr>
        <w:pStyle w:val="FINMAGliederungEbene2"/>
        <w:numPr>
          <w:ilvl w:val="0"/>
          <w:numId w:val="0"/>
        </w:numPr>
        <w:ind w:left="576"/>
      </w:pPr>
    </w:p>
    <w:tbl>
      <w:tblPr>
        <w:tblStyle w:val="Tabellenraster"/>
        <w:tblW w:w="0" w:type="auto"/>
        <w:tblLook w:val="04A0" w:firstRow="1" w:lastRow="0" w:firstColumn="1" w:lastColumn="0" w:noHBand="0" w:noVBand="1"/>
      </w:tblPr>
      <w:tblGrid>
        <w:gridCol w:w="417"/>
        <w:gridCol w:w="1653"/>
        <w:gridCol w:w="2145"/>
        <w:gridCol w:w="1721"/>
        <w:gridCol w:w="860"/>
        <w:gridCol w:w="2522"/>
      </w:tblGrid>
      <w:tr w:rsidR="00E3235F" w:rsidRPr="009872F3" w14:paraId="6BD95830" w14:textId="77777777" w:rsidTr="0096765A">
        <w:trPr>
          <w:trHeight w:val="563"/>
        </w:trPr>
        <w:tc>
          <w:tcPr>
            <w:tcW w:w="2070" w:type="dxa"/>
            <w:gridSpan w:val="2"/>
            <w:shd w:val="clear" w:color="auto" w:fill="DBE5F1" w:themeFill="accent1" w:themeFillTint="33"/>
          </w:tcPr>
          <w:p w14:paraId="348E7F39" w14:textId="77777777" w:rsidR="00E3235F" w:rsidRPr="009872F3" w:rsidRDefault="00E3235F" w:rsidP="00C747F0">
            <w:pPr>
              <w:jc w:val="both"/>
              <w:rPr>
                <w:rFonts w:ascii="Arial" w:hAnsi="Arial" w:cs="Arial"/>
                <w:sz w:val="18"/>
                <w:szCs w:val="18"/>
              </w:rPr>
            </w:pPr>
            <w:r w:rsidRPr="009872F3">
              <w:rPr>
                <w:rFonts w:ascii="Arial" w:hAnsi="Arial" w:cs="Arial"/>
                <w:sz w:val="18"/>
                <w:szCs w:val="18"/>
              </w:rPr>
              <w:lastRenderedPageBreak/>
              <w:t>Nettorisiko</w:t>
            </w:r>
          </w:p>
        </w:tc>
        <w:tc>
          <w:tcPr>
            <w:tcW w:w="2145" w:type="dxa"/>
            <w:shd w:val="clear" w:color="auto" w:fill="DBE5F1" w:themeFill="accent1" w:themeFillTint="33"/>
          </w:tcPr>
          <w:p w14:paraId="59B372B7" w14:textId="77777777" w:rsidR="00E3235F" w:rsidRPr="009872F3" w:rsidRDefault="00E3235F" w:rsidP="00C747F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5444BB7C" w14:textId="77777777" w:rsidR="00E3235F" w:rsidRPr="009872F3" w:rsidRDefault="00E3235F" w:rsidP="00C747F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3235F" w:rsidRPr="009872F3" w14:paraId="7E5D4669" w14:textId="77777777" w:rsidTr="0096765A">
        <w:trPr>
          <w:trHeight w:val="698"/>
        </w:trPr>
        <w:tc>
          <w:tcPr>
            <w:tcW w:w="2070" w:type="dxa"/>
            <w:gridSpan w:val="2"/>
            <w:shd w:val="clear" w:color="auto" w:fill="DBE5F1" w:themeFill="accent1" w:themeFillTint="33"/>
          </w:tcPr>
          <w:p w14:paraId="0C1928F8" w14:textId="77777777" w:rsidR="00E3235F" w:rsidRPr="006749F0" w:rsidRDefault="00E3235F" w:rsidP="00C747F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3C456B90" w14:textId="77777777" w:rsidR="00E3235F" w:rsidRPr="006749F0" w:rsidRDefault="00E3235F" w:rsidP="00C747F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4E3C595D" w14:textId="77777777" w:rsidR="00E3235F" w:rsidRPr="009872F3" w:rsidRDefault="00E3235F" w:rsidP="00C747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7C3D2DC2" w14:textId="77777777" w:rsidR="00E3235F" w:rsidRDefault="00E3235F" w:rsidP="00C747F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21157AC" w14:textId="77777777" w:rsidR="00E3235F" w:rsidRPr="006749F0" w:rsidRDefault="00E3235F" w:rsidP="00C747F0">
            <w:pPr>
              <w:jc w:val="both"/>
              <w:rPr>
                <w:rFonts w:ascii="Arial" w:hAnsi="Arial" w:cs="Arial"/>
                <w:i/>
                <w:sz w:val="18"/>
                <w:szCs w:val="18"/>
              </w:rPr>
            </w:pPr>
            <w:r w:rsidRPr="006749F0">
              <w:rPr>
                <w:rFonts w:ascii="Arial" w:hAnsi="Arial" w:cs="Arial"/>
                <w:i/>
                <w:sz w:val="18"/>
                <w:szCs w:val="18"/>
                <w:highlight w:val="yellow"/>
              </w:rPr>
              <w:t>Jahr</w:t>
            </w:r>
          </w:p>
        </w:tc>
      </w:tr>
      <w:tr w:rsidR="00E3235F" w:rsidRPr="009872F3" w14:paraId="674126A5" w14:textId="77777777" w:rsidTr="0096765A">
        <w:trPr>
          <w:trHeight w:val="636"/>
        </w:trPr>
        <w:tc>
          <w:tcPr>
            <w:tcW w:w="9318" w:type="dxa"/>
            <w:gridSpan w:val="6"/>
            <w:shd w:val="clear" w:color="auto" w:fill="DBE5F1" w:themeFill="accent1" w:themeFillTint="33"/>
          </w:tcPr>
          <w:p w14:paraId="611B65B5" w14:textId="01F0AE64" w:rsidR="00D32831" w:rsidRPr="00D32831" w:rsidRDefault="00D32831" w:rsidP="00D32831">
            <w:pPr>
              <w:jc w:val="both"/>
              <w:rPr>
                <w:rFonts w:ascii="Arial" w:hAnsi="Arial" w:cs="Arial"/>
                <w:i/>
                <w:sz w:val="18"/>
                <w:szCs w:val="18"/>
              </w:rPr>
            </w:pPr>
            <w:r w:rsidRPr="00D32831">
              <w:rPr>
                <w:rFonts w:ascii="Arial" w:hAnsi="Arial" w:cs="Arial"/>
                <w:i/>
                <w:sz w:val="18"/>
                <w:szCs w:val="18"/>
              </w:rPr>
              <w:t xml:space="preserve">Referenz (demonstrativ): </w:t>
            </w:r>
          </w:p>
          <w:p w14:paraId="6E8108F2" w14:textId="3D1F3EF5" w:rsidR="00E3235F" w:rsidRPr="009872F3" w:rsidRDefault="00D32831" w:rsidP="00C37D08">
            <w:pPr>
              <w:pStyle w:val="Listenabsatz"/>
              <w:numPr>
                <w:ilvl w:val="0"/>
                <w:numId w:val="9"/>
              </w:numPr>
              <w:ind w:left="308"/>
              <w:jc w:val="both"/>
              <w:rPr>
                <w:rFonts w:cs="Arial"/>
                <w:sz w:val="18"/>
                <w:szCs w:val="18"/>
              </w:rPr>
            </w:pPr>
            <w:r w:rsidRPr="002176A6">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E3235F" w:rsidRPr="009872F3" w14:paraId="13E5E428" w14:textId="77777777" w:rsidTr="0096765A">
        <w:trPr>
          <w:trHeight w:val="294"/>
        </w:trPr>
        <w:tc>
          <w:tcPr>
            <w:tcW w:w="9318" w:type="dxa"/>
            <w:gridSpan w:val="6"/>
          </w:tcPr>
          <w:p w14:paraId="49747629" w14:textId="77777777" w:rsidR="00E3235F" w:rsidRPr="009872F3" w:rsidRDefault="00E3235F" w:rsidP="00C747F0">
            <w:pPr>
              <w:jc w:val="both"/>
              <w:rPr>
                <w:rFonts w:ascii="Arial" w:hAnsi="Arial" w:cs="Arial"/>
                <w:sz w:val="18"/>
                <w:szCs w:val="18"/>
              </w:rPr>
            </w:pPr>
          </w:p>
        </w:tc>
      </w:tr>
      <w:tr w:rsidR="00BE5E39" w:rsidRPr="009872F3" w14:paraId="2D942F85" w14:textId="77777777" w:rsidTr="0096765A">
        <w:trPr>
          <w:trHeight w:val="294"/>
        </w:trPr>
        <w:tc>
          <w:tcPr>
            <w:tcW w:w="417" w:type="dxa"/>
          </w:tcPr>
          <w:p w14:paraId="5C793AE2" w14:textId="282E4639" w:rsidR="00BE5E39" w:rsidRPr="009872F3" w:rsidRDefault="00BE5E39" w:rsidP="00C747F0">
            <w:pPr>
              <w:jc w:val="both"/>
              <w:rPr>
                <w:rFonts w:ascii="Arial" w:hAnsi="Arial" w:cs="Arial"/>
                <w:sz w:val="18"/>
                <w:szCs w:val="18"/>
              </w:rPr>
            </w:pPr>
            <w:r>
              <w:rPr>
                <w:rFonts w:ascii="Arial" w:hAnsi="Arial" w:cs="Arial"/>
                <w:sz w:val="18"/>
                <w:szCs w:val="18"/>
              </w:rPr>
              <w:t>1</w:t>
            </w:r>
          </w:p>
        </w:tc>
        <w:tc>
          <w:tcPr>
            <w:tcW w:w="6379" w:type="dxa"/>
            <w:gridSpan w:val="4"/>
          </w:tcPr>
          <w:p w14:paraId="31D4E8E3" w14:textId="79A32811" w:rsidR="00BE5E39" w:rsidRPr="009872F3" w:rsidRDefault="00972C11" w:rsidP="00C747F0">
            <w:pPr>
              <w:jc w:val="both"/>
              <w:rPr>
                <w:rFonts w:ascii="Arial" w:hAnsi="Arial" w:cs="Arial"/>
                <w:sz w:val="18"/>
                <w:szCs w:val="18"/>
              </w:rPr>
            </w:pPr>
            <w:r w:rsidRPr="00E3235F">
              <w:rPr>
                <w:rFonts w:ascii="Arial" w:hAnsi="Arial" w:cs="Arial"/>
                <w:sz w:val="18"/>
                <w:szCs w:val="18"/>
              </w:rPr>
              <w:t xml:space="preserve">Bestätigung, dass die internen Verfahren </w:t>
            </w:r>
            <w:r w:rsidRPr="00D440BC">
              <w:rPr>
                <w:rFonts w:ascii="Arial" w:hAnsi="Arial" w:cs="Arial"/>
                <w:sz w:val="18"/>
                <w:szCs w:val="18"/>
              </w:rPr>
              <w:t>Mechanismen vorsehen</w:t>
            </w:r>
            <w:r w:rsidRPr="00E3235F">
              <w:rPr>
                <w:rFonts w:ascii="Arial" w:hAnsi="Arial" w:cs="Arial"/>
                <w:sz w:val="18"/>
                <w:szCs w:val="18"/>
              </w:rPr>
              <w:t xml:space="preserve"> </w:t>
            </w:r>
            <w:r>
              <w:rPr>
                <w:rFonts w:ascii="Arial" w:hAnsi="Arial" w:cs="Arial"/>
                <w:sz w:val="18"/>
                <w:szCs w:val="18"/>
              </w:rPr>
              <w:t>welche im Bedarfsfall die</w:t>
            </w:r>
            <w:r w:rsidR="00BE5E39" w:rsidRPr="00E3235F">
              <w:rPr>
                <w:rFonts w:ascii="Arial" w:hAnsi="Arial" w:cs="Arial"/>
                <w:sz w:val="18"/>
                <w:szCs w:val="18"/>
              </w:rPr>
              <w:t xml:space="preserve"> Durchführung</w:t>
            </w:r>
            <w:r w:rsidR="000B1E8D">
              <w:rPr>
                <w:rFonts w:ascii="Arial" w:hAnsi="Arial" w:cs="Arial"/>
                <w:sz w:val="18"/>
                <w:szCs w:val="18"/>
              </w:rPr>
              <w:t xml:space="preserve"> sowie die interne und externe Kommunikation</w:t>
            </w:r>
            <w:r w:rsidR="00BE5E39" w:rsidRPr="00E3235F">
              <w:rPr>
                <w:rFonts w:ascii="Arial" w:hAnsi="Arial" w:cs="Arial"/>
                <w:sz w:val="18"/>
                <w:szCs w:val="18"/>
              </w:rPr>
              <w:t xml:space="preserve"> eines Moratoriums nach Art. 36a SAG sowie sonstiger vergleichbarer aufsichtlicher Massnahmen, die zur (teilweisen) Einstellung des Betriebs wie die Aussetzung von Kündigungsrechten sowie Zahlungs- und Lieferverpflichtungen</w:t>
            </w:r>
            <w:r w:rsidR="000950CF">
              <w:rPr>
                <w:rFonts w:ascii="Arial" w:hAnsi="Arial" w:cs="Arial"/>
                <w:sz w:val="18"/>
                <w:szCs w:val="18"/>
              </w:rPr>
              <w:t>, einschliesslich der Verhinderung interner Umbuchungen (z.B. in ein Wertpapierdepot),</w:t>
            </w:r>
            <w:r w:rsidR="00BE5E39" w:rsidRPr="00E3235F">
              <w:rPr>
                <w:rFonts w:ascii="Arial" w:hAnsi="Arial" w:cs="Arial"/>
                <w:sz w:val="18"/>
                <w:szCs w:val="18"/>
              </w:rPr>
              <w:t xml:space="preserve"> führen</w:t>
            </w:r>
            <w:r w:rsidR="00BE5E39">
              <w:rPr>
                <w:rFonts w:ascii="Arial" w:hAnsi="Arial" w:cs="Arial"/>
                <w:sz w:val="18"/>
                <w:szCs w:val="18"/>
              </w:rPr>
              <w:t xml:space="preserve"> («Zahlungsmoratorium»)</w:t>
            </w:r>
            <w:r w:rsidR="00BE5E39" w:rsidRPr="00E3235F">
              <w:rPr>
                <w:rFonts w:ascii="Arial" w:hAnsi="Arial" w:cs="Arial"/>
                <w:sz w:val="18"/>
                <w:szCs w:val="18"/>
              </w:rPr>
              <w:t xml:space="preserve">, </w:t>
            </w:r>
            <w:r w:rsidR="000B1E8D">
              <w:rPr>
                <w:rFonts w:ascii="Arial" w:hAnsi="Arial" w:cs="Arial"/>
                <w:sz w:val="18"/>
                <w:szCs w:val="18"/>
              </w:rPr>
              <w:t>ermöglichen</w:t>
            </w:r>
            <w:r w:rsidR="00BE5E39" w:rsidRPr="00E3235F">
              <w:rPr>
                <w:rFonts w:ascii="Arial" w:hAnsi="Arial" w:cs="Arial"/>
                <w:sz w:val="18"/>
                <w:szCs w:val="18"/>
              </w:rPr>
              <w:t>.</w:t>
            </w:r>
          </w:p>
        </w:tc>
        <w:tc>
          <w:tcPr>
            <w:tcW w:w="2522" w:type="dxa"/>
          </w:tcPr>
          <w:p w14:paraId="189880DC" w14:textId="6B7783E4" w:rsidR="00BE5E39" w:rsidRPr="009872F3" w:rsidRDefault="00BE5E39" w:rsidP="00C747F0">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E5E39" w:rsidRPr="009872F3" w14:paraId="78333E36" w14:textId="77777777" w:rsidTr="0096765A">
        <w:trPr>
          <w:trHeight w:val="294"/>
        </w:trPr>
        <w:tc>
          <w:tcPr>
            <w:tcW w:w="417" w:type="dxa"/>
          </w:tcPr>
          <w:p w14:paraId="6611C617" w14:textId="034505EC" w:rsidR="00BE5E39" w:rsidRPr="009872F3" w:rsidRDefault="00515A81" w:rsidP="00C747F0">
            <w:pPr>
              <w:jc w:val="both"/>
              <w:rPr>
                <w:rFonts w:ascii="Arial" w:hAnsi="Arial" w:cs="Arial"/>
                <w:sz w:val="18"/>
                <w:szCs w:val="18"/>
              </w:rPr>
            </w:pPr>
            <w:r>
              <w:rPr>
                <w:rFonts w:ascii="Arial" w:hAnsi="Arial" w:cs="Arial"/>
                <w:sz w:val="18"/>
                <w:szCs w:val="18"/>
              </w:rPr>
              <w:t>2</w:t>
            </w:r>
          </w:p>
        </w:tc>
        <w:tc>
          <w:tcPr>
            <w:tcW w:w="6379" w:type="dxa"/>
            <w:gridSpan w:val="4"/>
          </w:tcPr>
          <w:p w14:paraId="52E9425C" w14:textId="0A00D806" w:rsidR="00BE5E39" w:rsidRPr="009872F3" w:rsidRDefault="00BE5E39" w:rsidP="00C747F0">
            <w:pPr>
              <w:jc w:val="both"/>
              <w:rPr>
                <w:rFonts w:ascii="Arial" w:hAnsi="Arial" w:cs="Arial"/>
                <w:sz w:val="18"/>
                <w:szCs w:val="18"/>
              </w:rPr>
            </w:pPr>
            <w:r w:rsidRPr="00E3235F">
              <w:rPr>
                <w:rFonts w:ascii="Arial" w:hAnsi="Arial" w:cs="Arial"/>
                <w:sz w:val="18"/>
                <w:szCs w:val="18"/>
              </w:rPr>
              <w:t>Bestätigung, dass die internen Verfahren</w:t>
            </w:r>
            <w:r w:rsidR="00F02772">
              <w:rPr>
                <w:rFonts w:ascii="Arial" w:hAnsi="Arial" w:cs="Arial"/>
                <w:sz w:val="18"/>
                <w:szCs w:val="18"/>
              </w:rPr>
              <w:t xml:space="preserve"> </w:t>
            </w:r>
            <w:r w:rsidDel="00986C47">
              <w:rPr>
                <w:rFonts w:ascii="Arial" w:hAnsi="Arial" w:cs="Arial"/>
                <w:sz w:val="18"/>
                <w:szCs w:val="18"/>
              </w:rPr>
              <w:t>in der Lage sin</w:t>
            </w:r>
            <w:r w:rsidDel="008302B9">
              <w:rPr>
                <w:rFonts w:ascii="Arial" w:hAnsi="Arial" w:cs="Arial"/>
                <w:sz w:val="18"/>
                <w:szCs w:val="18"/>
              </w:rPr>
              <w:t xml:space="preserve">d, </w:t>
            </w:r>
            <w:r w:rsidRPr="00737036" w:rsidDel="008302B9">
              <w:rPr>
                <w:rFonts w:ascii="Arial" w:hAnsi="Arial" w:cs="Arial"/>
                <w:sz w:val="18"/>
                <w:szCs w:val="18"/>
              </w:rPr>
              <w:t>die</w:t>
            </w:r>
            <w:r w:rsidR="008302B9">
              <w:rPr>
                <w:rFonts w:ascii="Arial" w:hAnsi="Arial" w:cs="Arial"/>
                <w:sz w:val="18"/>
                <w:szCs w:val="18"/>
              </w:rPr>
              <w:t xml:space="preserve"> </w:t>
            </w:r>
            <w:r w:rsidRPr="00737036">
              <w:rPr>
                <w:rFonts w:ascii="Arial" w:hAnsi="Arial" w:cs="Arial"/>
                <w:sz w:val="18"/>
                <w:szCs w:val="18"/>
              </w:rPr>
              <w:t xml:space="preserve">operativen und finanziellen Auswirkungen einer behördlichen Aussetzung von Zahlungs- oder Lieferverpflichtungen </w:t>
            </w:r>
            <w:r>
              <w:rPr>
                <w:rFonts w:ascii="Arial" w:hAnsi="Arial" w:cs="Arial"/>
                <w:sz w:val="18"/>
                <w:szCs w:val="18"/>
              </w:rPr>
              <w:t xml:space="preserve">auf das Unternehmen </w:t>
            </w:r>
            <w:r w:rsidR="002E1947">
              <w:rPr>
                <w:rFonts w:ascii="Arial" w:hAnsi="Arial" w:cs="Arial"/>
                <w:sz w:val="18"/>
                <w:szCs w:val="18"/>
              </w:rPr>
              <w:t xml:space="preserve">in angemessener Frist </w:t>
            </w:r>
            <w:r w:rsidRPr="00737036" w:rsidDel="008302B9">
              <w:rPr>
                <w:rFonts w:ascii="Arial" w:hAnsi="Arial" w:cs="Arial"/>
                <w:sz w:val="18"/>
                <w:szCs w:val="18"/>
              </w:rPr>
              <w:t>ein</w:t>
            </w:r>
            <w:r w:rsidR="00AE2ACE" w:rsidDel="008302B9">
              <w:rPr>
                <w:rFonts w:ascii="Arial" w:hAnsi="Arial" w:cs="Arial"/>
                <w:sz w:val="18"/>
                <w:szCs w:val="18"/>
              </w:rPr>
              <w:t>schätzen zu können</w:t>
            </w:r>
            <w:r w:rsidRPr="00737036">
              <w:rPr>
                <w:rFonts w:ascii="Arial" w:hAnsi="Arial" w:cs="Arial"/>
                <w:sz w:val="18"/>
                <w:szCs w:val="18"/>
              </w:rPr>
              <w:t>.</w:t>
            </w:r>
          </w:p>
        </w:tc>
        <w:tc>
          <w:tcPr>
            <w:tcW w:w="2522" w:type="dxa"/>
          </w:tcPr>
          <w:p w14:paraId="59A3B3BD" w14:textId="75AA3673" w:rsidR="00BE5E39" w:rsidRPr="00E109DF" w:rsidRDefault="00BE5E39" w:rsidP="00C747F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C87BEC4" w14:textId="5D6C14E1" w:rsidR="00B02CD7" w:rsidRDefault="00B02CD7" w:rsidP="7CFC4235"/>
    <w:tbl>
      <w:tblPr>
        <w:tblStyle w:val="Tabellenraster"/>
        <w:tblW w:w="0" w:type="auto"/>
        <w:tblLayout w:type="fixed"/>
        <w:tblLook w:val="04A0" w:firstRow="1" w:lastRow="0" w:firstColumn="1" w:lastColumn="0" w:noHBand="0" w:noVBand="1"/>
      </w:tblPr>
      <w:tblGrid>
        <w:gridCol w:w="2655"/>
        <w:gridCol w:w="6691"/>
      </w:tblGrid>
      <w:tr w:rsidR="00B02CD7" w14:paraId="4DB5807D"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1EAE34C8" w14:textId="77777777" w:rsidR="00B02CD7" w:rsidRDefault="00B02CD7">
            <w:pPr>
              <w:jc w:val="both"/>
              <w:rPr>
                <w:rFonts w:ascii="Arial" w:eastAsia="Arial" w:hAnsi="Arial" w:cs="Arial"/>
                <w:b/>
                <w:bCs/>
                <w:i/>
                <w:iCs/>
                <w:sz w:val="18"/>
                <w:szCs w:val="18"/>
              </w:rPr>
            </w:pPr>
            <w:r w:rsidRPr="319DCD61">
              <w:rPr>
                <w:rFonts w:ascii="Arial" w:eastAsia="Arial" w:hAnsi="Arial" w:cs="Arial"/>
                <w:b/>
                <w:bCs/>
                <w:i/>
                <w:iCs/>
                <w:sz w:val="18"/>
                <w:szCs w:val="18"/>
              </w:rPr>
              <w:t>Prüfelemente</w:t>
            </w:r>
          </w:p>
        </w:tc>
        <w:tc>
          <w:tcPr>
            <w:tcW w:w="6691" w:type="dxa"/>
            <w:tcBorders>
              <w:top w:val="single" w:sz="8" w:space="0" w:color="auto"/>
              <w:left w:val="single" w:sz="8" w:space="0" w:color="auto"/>
              <w:bottom w:val="single" w:sz="8" w:space="0" w:color="auto"/>
              <w:right w:val="single" w:sz="8" w:space="0" w:color="auto"/>
            </w:tcBorders>
            <w:tcMar>
              <w:left w:w="108" w:type="dxa"/>
              <w:right w:w="108" w:type="dxa"/>
            </w:tcMar>
          </w:tcPr>
          <w:p w14:paraId="1C2B8C63" w14:textId="77777777" w:rsidR="00B02CD7" w:rsidRDefault="00B02CD7">
            <w:pPr>
              <w:jc w:val="both"/>
              <w:rPr>
                <w:rFonts w:ascii="Arial" w:eastAsia="Arial" w:hAnsi="Arial" w:cs="Arial"/>
                <w:b/>
                <w:bCs/>
                <w:i/>
                <w:iCs/>
                <w:sz w:val="18"/>
                <w:szCs w:val="18"/>
              </w:rPr>
            </w:pPr>
            <w:r w:rsidRPr="319DCD61">
              <w:rPr>
                <w:rFonts w:ascii="Arial" w:eastAsia="Arial" w:hAnsi="Arial" w:cs="Arial"/>
                <w:b/>
                <w:bCs/>
                <w:i/>
                <w:iCs/>
                <w:sz w:val="18"/>
                <w:szCs w:val="18"/>
              </w:rPr>
              <w:t>Mindestprüfinhalte («Muster»)</w:t>
            </w:r>
          </w:p>
        </w:tc>
      </w:tr>
      <w:tr w:rsidR="00B02CD7" w14:paraId="20B89802"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470F2309" w14:textId="77777777" w:rsidR="00B02CD7" w:rsidRDefault="00B02CD7">
            <w:pPr>
              <w:jc w:val="both"/>
              <w:rPr>
                <w:rFonts w:ascii="Arial" w:eastAsia="Arial" w:hAnsi="Arial" w:cs="Arial"/>
                <w:i/>
                <w:iCs/>
                <w:sz w:val="18"/>
                <w:szCs w:val="18"/>
              </w:rPr>
            </w:pPr>
            <w:r w:rsidRPr="319DCD61">
              <w:rPr>
                <w:rFonts w:ascii="Arial" w:eastAsia="Arial" w:hAnsi="Arial" w:cs="Arial"/>
                <w:i/>
                <w:iCs/>
                <w:sz w:val="18"/>
                <w:szCs w:val="18"/>
              </w:rPr>
              <w:t xml:space="preserve">Interne Organisation </w:t>
            </w:r>
          </w:p>
        </w:tc>
        <w:tc>
          <w:tcPr>
            <w:tcW w:w="6691" w:type="dxa"/>
            <w:tcBorders>
              <w:top w:val="single" w:sz="8" w:space="0" w:color="auto"/>
              <w:left w:val="single" w:sz="8" w:space="0" w:color="auto"/>
              <w:bottom w:val="single" w:sz="8" w:space="0" w:color="auto"/>
              <w:right w:val="single" w:sz="8" w:space="0" w:color="auto"/>
            </w:tcBorders>
            <w:tcMar>
              <w:left w:w="108" w:type="dxa"/>
              <w:right w:w="108" w:type="dxa"/>
            </w:tcMar>
          </w:tcPr>
          <w:p w14:paraId="2ABFF221" w14:textId="77777777" w:rsidR="00B02CD7" w:rsidRPr="001E5355" w:rsidRDefault="00B02CD7">
            <w:pPr>
              <w:pStyle w:val="Listenabsatz"/>
              <w:numPr>
                <w:ilvl w:val="1"/>
                <w:numId w:val="11"/>
              </w:numPr>
              <w:spacing w:line="259" w:lineRule="auto"/>
              <w:ind w:left="317" w:hanging="283"/>
              <w:jc w:val="both"/>
              <w:rPr>
                <w:rFonts w:cs="Arial"/>
                <w:i/>
                <w:sz w:val="18"/>
                <w:szCs w:val="18"/>
              </w:rPr>
            </w:pPr>
            <w:r w:rsidRPr="001E5355">
              <w:rPr>
                <w:rFonts w:cs="Arial"/>
                <w:i/>
                <w:sz w:val="18"/>
                <w:szCs w:val="18"/>
              </w:rPr>
              <w:t>Die interne Organisationsstruktur (z.B. Weisungswesen, technische, personelle und fachliche Ressourcen) stellt sicher, dass Verfahren existieren, welche im Bedarfsfall die Durchführung eines Zahlungsmoratoriums ermöglichen</w:t>
            </w:r>
          </w:p>
        </w:tc>
      </w:tr>
      <w:tr w:rsidR="00B02CD7" w14:paraId="7E7D2C58"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4AC4B28" w14:textId="77777777" w:rsidR="00B02CD7" w:rsidRDefault="00B02CD7">
            <w:pPr>
              <w:jc w:val="both"/>
              <w:rPr>
                <w:rFonts w:ascii="Arial" w:eastAsia="Arial" w:hAnsi="Arial" w:cs="Arial"/>
                <w:i/>
                <w:iCs/>
                <w:sz w:val="18"/>
                <w:szCs w:val="18"/>
              </w:rPr>
            </w:pPr>
            <w:r w:rsidRPr="319DCD61">
              <w:rPr>
                <w:rFonts w:ascii="Arial" w:eastAsia="Arial" w:hAnsi="Arial" w:cs="Arial"/>
                <w:i/>
                <w:iCs/>
                <w:sz w:val="18"/>
                <w:szCs w:val="18"/>
              </w:rPr>
              <w:t>Internes Kontrollsystem, Prozesse und Berichterstattung</w:t>
            </w:r>
          </w:p>
        </w:tc>
        <w:tc>
          <w:tcPr>
            <w:tcW w:w="6691" w:type="dxa"/>
            <w:tcBorders>
              <w:top w:val="single" w:sz="8" w:space="0" w:color="auto"/>
              <w:left w:val="single" w:sz="8" w:space="0" w:color="auto"/>
              <w:bottom w:val="single" w:sz="8" w:space="0" w:color="auto"/>
              <w:right w:val="single" w:sz="8" w:space="0" w:color="auto"/>
            </w:tcBorders>
            <w:tcMar>
              <w:left w:w="108" w:type="dxa"/>
              <w:right w:w="108" w:type="dxa"/>
            </w:tcMar>
          </w:tcPr>
          <w:p w14:paraId="40CC33D8" w14:textId="77777777" w:rsidR="00B02CD7" w:rsidRPr="00D674EC" w:rsidRDefault="00B02CD7">
            <w:pPr>
              <w:pStyle w:val="Listenabsatz"/>
              <w:numPr>
                <w:ilvl w:val="1"/>
                <w:numId w:val="11"/>
              </w:numPr>
              <w:spacing w:line="259" w:lineRule="auto"/>
              <w:ind w:left="317" w:hanging="283"/>
              <w:jc w:val="both"/>
              <w:rPr>
                <w:rFonts w:cs="Arial"/>
                <w:i/>
                <w:sz w:val="18"/>
                <w:szCs w:val="18"/>
              </w:rPr>
            </w:pPr>
            <w:r w:rsidRPr="00D674EC">
              <w:rPr>
                <w:rFonts w:cs="Arial"/>
                <w:i/>
                <w:sz w:val="18"/>
                <w:szCs w:val="18"/>
              </w:rPr>
              <w:t>Die internen Verfahren sehen im Bedarfsfall Mechanismen zur Durchführung eines Moratoriums vor</w:t>
            </w:r>
          </w:p>
          <w:p w14:paraId="74EDB809" w14:textId="77777777" w:rsidR="00B02CD7" w:rsidRPr="002F5FE1" w:rsidRDefault="00B02CD7">
            <w:pPr>
              <w:pStyle w:val="Listenabsatz"/>
              <w:numPr>
                <w:ilvl w:val="1"/>
                <w:numId w:val="11"/>
              </w:numPr>
              <w:spacing w:line="259" w:lineRule="auto"/>
              <w:ind w:left="317" w:hanging="283"/>
              <w:jc w:val="both"/>
              <w:rPr>
                <w:i/>
                <w:iCs/>
                <w:sz w:val="18"/>
                <w:szCs w:val="18"/>
              </w:rPr>
            </w:pPr>
            <w:r w:rsidRPr="4F9A98B6">
              <w:rPr>
                <w:rFonts w:cs="Arial"/>
                <w:i/>
                <w:iCs/>
                <w:sz w:val="18"/>
                <w:szCs w:val="18"/>
              </w:rPr>
              <w:t>Eine Kommunikationsstrategie ist definiert, welche die interne und externe Kommunikation beinhaltet</w:t>
            </w:r>
          </w:p>
          <w:p w14:paraId="5EBA37EA" w14:textId="77777777" w:rsidR="00B02CD7" w:rsidRPr="00D674EC" w:rsidRDefault="00B02CD7">
            <w:pPr>
              <w:pStyle w:val="Listenabsatz"/>
              <w:numPr>
                <w:ilvl w:val="1"/>
                <w:numId w:val="11"/>
              </w:numPr>
              <w:spacing w:line="259" w:lineRule="auto"/>
              <w:ind w:left="317" w:hanging="283"/>
              <w:jc w:val="both"/>
              <w:rPr>
                <w:rFonts w:cs="Arial"/>
                <w:i/>
                <w:sz w:val="18"/>
                <w:szCs w:val="18"/>
              </w:rPr>
            </w:pPr>
            <w:r w:rsidRPr="00D674EC">
              <w:rPr>
                <w:rFonts w:cs="Arial"/>
                <w:i/>
                <w:sz w:val="18"/>
                <w:szCs w:val="18"/>
              </w:rPr>
              <w:t>Die Prozesse ermöglichen die (teilweise) Einstellung des Betriebs wie die Aussetzung von Kündigungsrechten sowie Zahlungs- und Lieferverpflichtungen, einschliesslich der Verhinderung interner Umbuchungen</w:t>
            </w:r>
          </w:p>
          <w:p w14:paraId="28FFF595" w14:textId="77777777" w:rsidR="00B02CD7" w:rsidRPr="00D674EC" w:rsidRDefault="00B02CD7">
            <w:pPr>
              <w:pStyle w:val="Listenabsatz"/>
              <w:numPr>
                <w:ilvl w:val="1"/>
                <w:numId w:val="11"/>
              </w:numPr>
              <w:spacing w:line="259" w:lineRule="auto"/>
              <w:ind w:left="317" w:hanging="283"/>
              <w:jc w:val="both"/>
              <w:rPr>
                <w:rFonts w:cs="Arial"/>
                <w:i/>
                <w:sz w:val="18"/>
                <w:szCs w:val="18"/>
              </w:rPr>
            </w:pPr>
            <w:r w:rsidRPr="00D674EC">
              <w:rPr>
                <w:rFonts w:cs="Arial"/>
                <w:i/>
                <w:sz w:val="18"/>
                <w:szCs w:val="18"/>
              </w:rPr>
              <w:t>Die internen Verfahren ermöglichen eine Analyse der operativen und finanziellen Auswirkung einer behördlichen Aussetzung von Zahlungs- oder Lieferverpflichtungen auf die Bank</w:t>
            </w:r>
          </w:p>
        </w:tc>
      </w:tr>
    </w:tbl>
    <w:p w14:paraId="7C9351AA" w14:textId="34F455AE" w:rsidR="7CFC4235" w:rsidRDefault="7CFC4235" w:rsidP="7CFC4235"/>
    <w:p w14:paraId="2A10DABB" w14:textId="2837D82C" w:rsidR="003F36C1" w:rsidRDefault="003F36C1" w:rsidP="00C37D08">
      <w:pPr>
        <w:pStyle w:val="FINMAGliederungEbene2"/>
      </w:pPr>
      <w:bookmarkStart w:id="15" w:name="_Toc140849816"/>
      <w:bookmarkStart w:id="16" w:name="_Toc141095435"/>
      <w:bookmarkStart w:id="17" w:name="_Toc141284973"/>
      <w:bookmarkStart w:id="18" w:name="_Toc147141448"/>
      <w:bookmarkEnd w:id="15"/>
      <w:bookmarkEnd w:id="16"/>
      <w:bookmarkEnd w:id="17"/>
      <w:r w:rsidRPr="00ED413F">
        <w:t>Vertrieb von nachrangigen berücksichtigungsfähigen Verbindlichkeiten</w:t>
      </w:r>
      <w:bookmarkEnd w:id="18"/>
    </w:p>
    <w:p w14:paraId="63A3F96B" w14:textId="77777777" w:rsidR="003F36C1" w:rsidRPr="006067FE" w:rsidRDefault="003F36C1" w:rsidP="003F36C1">
      <w:pPr>
        <w:pStyle w:val="FINMAGliederungEbene2"/>
        <w:numPr>
          <w:ilvl w:val="0"/>
          <w:numId w:val="0"/>
        </w:numPr>
        <w:ind w:left="576"/>
      </w:pPr>
    </w:p>
    <w:tbl>
      <w:tblPr>
        <w:tblStyle w:val="Tabellenraster"/>
        <w:tblW w:w="0" w:type="auto"/>
        <w:tblLook w:val="04A0" w:firstRow="1" w:lastRow="0" w:firstColumn="1" w:lastColumn="0" w:noHBand="0" w:noVBand="1"/>
      </w:tblPr>
      <w:tblGrid>
        <w:gridCol w:w="317"/>
        <w:gridCol w:w="1653"/>
        <w:gridCol w:w="2145"/>
        <w:gridCol w:w="1721"/>
        <w:gridCol w:w="860"/>
        <w:gridCol w:w="2522"/>
      </w:tblGrid>
      <w:tr w:rsidR="003F36C1" w:rsidRPr="009872F3" w14:paraId="3DFC106C" w14:textId="77777777" w:rsidTr="005A05D6">
        <w:trPr>
          <w:trHeight w:val="563"/>
        </w:trPr>
        <w:tc>
          <w:tcPr>
            <w:tcW w:w="1970" w:type="dxa"/>
            <w:gridSpan w:val="2"/>
            <w:shd w:val="clear" w:color="auto" w:fill="DBE5F1" w:themeFill="accent1" w:themeFillTint="33"/>
          </w:tcPr>
          <w:p w14:paraId="24A474A2" w14:textId="77777777" w:rsidR="003F36C1" w:rsidRPr="009872F3" w:rsidRDefault="003F36C1" w:rsidP="00C747F0">
            <w:pPr>
              <w:jc w:val="both"/>
              <w:rPr>
                <w:rFonts w:ascii="Arial" w:hAnsi="Arial" w:cs="Arial"/>
                <w:sz w:val="18"/>
                <w:szCs w:val="18"/>
              </w:rPr>
            </w:pPr>
            <w:r w:rsidRPr="009872F3">
              <w:rPr>
                <w:rFonts w:ascii="Arial" w:hAnsi="Arial" w:cs="Arial"/>
                <w:sz w:val="18"/>
                <w:szCs w:val="18"/>
              </w:rPr>
              <w:t>Nettorisiko</w:t>
            </w:r>
          </w:p>
        </w:tc>
        <w:tc>
          <w:tcPr>
            <w:tcW w:w="2145" w:type="dxa"/>
            <w:shd w:val="clear" w:color="auto" w:fill="DBE5F1" w:themeFill="accent1" w:themeFillTint="33"/>
          </w:tcPr>
          <w:p w14:paraId="541B40DE" w14:textId="77777777" w:rsidR="003F36C1" w:rsidRPr="009872F3" w:rsidRDefault="003F36C1" w:rsidP="00C747F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34947292" w14:textId="77777777" w:rsidR="003F36C1" w:rsidRPr="009872F3" w:rsidRDefault="003F36C1" w:rsidP="00C747F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36C1" w:rsidRPr="009872F3" w14:paraId="3976D1D0" w14:textId="77777777" w:rsidTr="005A05D6">
        <w:trPr>
          <w:trHeight w:val="698"/>
        </w:trPr>
        <w:tc>
          <w:tcPr>
            <w:tcW w:w="1970" w:type="dxa"/>
            <w:gridSpan w:val="2"/>
            <w:shd w:val="clear" w:color="auto" w:fill="DBE5F1" w:themeFill="accent1" w:themeFillTint="33"/>
          </w:tcPr>
          <w:p w14:paraId="0A0EE0B8" w14:textId="77777777" w:rsidR="003F36C1" w:rsidRPr="006749F0" w:rsidRDefault="003F36C1" w:rsidP="00C747F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77CFB261" w14:textId="77777777" w:rsidR="003F36C1" w:rsidRPr="006749F0" w:rsidRDefault="003F36C1" w:rsidP="00C747F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75FB34A3" w14:textId="77777777" w:rsidR="003F36C1" w:rsidRPr="009872F3" w:rsidRDefault="003F36C1" w:rsidP="00C747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411F45BB" w14:textId="77777777" w:rsidR="003F36C1" w:rsidRDefault="003F36C1" w:rsidP="00C747F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7C2DBCA" w14:textId="77777777" w:rsidR="003F36C1" w:rsidRPr="006749F0" w:rsidRDefault="003F36C1" w:rsidP="00C747F0">
            <w:pPr>
              <w:jc w:val="both"/>
              <w:rPr>
                <w:rFonts w:ascii="Arial" w:hAnsi="Arial" w:cs="Arial"/>
                <w:i/>
                <w:sz w:val="18"/>
                <w:szCs w:val="18"/>
              </w:rPr>
            </w:pPr>
            <w:r w:rsidRPr="006749F0">
              <w:rPr>
                <w:rFonts w:ascii="Arial" w:hAnsi="Arial" w:cs="Arial"/>
                <w:i/>
                <w:sz w:val="18"/>
                <w:szCs w:val="18"/>
                <w:highlight w:val="yellow"/>
              </w:rPr>
              <w:t>Jahr</w:t>
            </w:r>
          </w:p>
        </w:tc>
      </w:tr>
      <w:tr w:rsidR="003F36C1" w:rsidRPr="009872F3" w14:paraId="3405E98F" w14:textId="77777777" w:rsidTr="000B44E4">
        <w:trPr>
          <w:trHeight w:val="510"/>
        </w:trPr>
        <w:tc>
          <w:tcPr>
            <w:tcW w:w="9218" w:type="dxa"/>
            <w:gridSpan w:val="6"/>
            <w:shd w:val="clear" w:color="auto" w:fill="DBE5F1" w:themeFill="accent1" w:themeFillTint="33"/>
          </w:tcPr>
          <w:p w14:paraId="0E1650F8" w14:textId="7D0B820B" w:rsidR="004F34A1" w:rsidRPr="00D32831" w:rsidRDefault="004F34A1" w:rsidP="004F34A1">
            <w:pPr>
              <w:jc w:val="both"/>
              <w:rPr>
                <w:rFonts w:ascii="Arial" w:hAnsi="Arial" w:cs="Arial"/>
                <w:i/>
                <w:sz w:val="18"/>
                <w:szCs w:val="18"/>
              </w:rPr>
            </w:pPr>
            <w:r w:rsidRPr="00D32831">
              <w:rPr>
                <w:rFonts w:ascii="Arial" w:hAnsi="Arial" w:cs="Arial"/>
                <w:i/>
                <w:sz w:val="18"/>
                <w:szCs w:val="18"/>
              </w:rPr>
              <w:t xml:space="preserve">Referenz (demonstrativ): </w:t>
            </w:r>
          </w:p>
          <w:p w14:paraId="0515E52F" w14:textId="7A5BABC0" w:rsidR="003F36C1" w:rsidRPr="009872F3" w:rsidRDefault="00C41815" w:rsidP="00C37D08">
            <w:pPr>
              <w:pStyle w:val="Listenabsatz"/>
              <w:numPr>
                <w:ilvl w:val="0"/>
                <w:numId w:val="9"/>
              </w:numPr>
              <w:ind w:left="308"/>
              <w:jc w:val="both"/>
              <w:rPr>
                <w:rFonts w:cs="Arial"/>
                <w:sz w:val="18"/>
                <w:szCs w:val="18"/>
              </w:rPr>
            </w:pPr>
            <w:r w:rsidRPr="00C41815">
              <w:rPr>
                <w:rFonts w:cs="Arial"/>
                <w:sz w:val="18"/>
                <w:szCs w:val="18"/>
              </w:rPr>
              <w:t>Art 57a SAG</w:t>
            </w:r>
          </w:p>
        </w:tc>
      </w:tr>
      <w:tr w:rsidR="003F36C1" w:rsidRPr="009872F3" w14:paraId="158AA455" w14:textId="77777777" w:rsidTr="005A05D6">
        <w:trPr>
          <w:trHeight w:val="294"/>
        </w:trPr>
        <w:tc>
          <w:tcPr>
            <w:tcW w:w="9218" w:type="dxa"/>
            <w:gridSpan w:val="6"/>
          </w:tcPr>
          <w:p w14:paraId="61DDD03D" w14:textId="77777777" w:rsidR="003F36C1" w:rsidRPr="009872F3" w:rsidRDefault="003F36C1" w:rsidP="00C747F0">
            <w:pPr>
              <w:jc w:val="both"/>
              <w:rPr>
                <w:rFonts w:ascii="Arial" w:hAnsi="Arial" w:cs="Arial"/>
                <w:sz w:val="18"/>
                <w:szCs w:val="18"/>
              </w:rPr>
            </w:pPr>
          </w:p>
        </w:tc>
      </w:tr>
      <w:tr w:rsidR="005A05D6" w:rsidRPr="009872F3" w14:paraId="16E96E60" w14:textId="77777777" w:rsidTr="005A05D6">
        <w:trPr>
          <w:trHeight w:val="294"/>
        </w:trPr>
        <w:tc>
          <w:tcPr>
            <w:tcW w:w="317" w:type="dxa"/>
          </w:tcPr>
          <w:p w14:paraId="750F06EE" w14:textId="335F076C" w:rsidR="005A05D6" w:rsidRPr="009872F3" w:rsidRDefault="005A05D6" w:rsidP="00C747F0">
            <w:pPr>
              <w:jc w:val="both"/>
              <w:rPr>
                <w:rFonts w:ascii="Arial" w:hAnsi="Arial" w:cs="Arial"/>
                <w:sz w:val="18"/>
                <w:szCs w:val="18"/>
              </w:rPr>
            </w:pPr>
            <w:r>
              <w:rPr>
                <w:rFonts w:ascii="Arial" w:hAnsi="Arial" w:cs="Arial"/>
                <w:sz w:val="18"/>
                <w:szCs w:val="18"/>
              </w:rPr>
              <w:t>1</w:t>
            </w:r>
          </w:p>
        </w:tc>
        <w:tc>
          <w:tcPr>
            <w:tcW w:w="6379" w:type="dxa"/>
            <w:gridSpan w:val="4"/>
          </w:tcPr>
          <w:p w14:paraId="5C89DDC2" w14:textId="0AD4A299" w:rsidR="005A05D6" w:rsidRPr="009872F3" w:rsidRDefault="005A05D6" w:rsidP="00C747F0">
            <w:pPr>
              <w:jc w:val="both"/>
              <w:rPr>
                <w:rFonts w:ascii="Arial" w:hAnsi="Arial" w:cs="Arial"/>
                <w:sz w:val="18"/>
                <w:szCs w:val="18"/>
              </w:rPr>
            </w:pPr>
            <w:r w:rsidRPr="00B93532">
              <w:rPr>
                <w:rFonts w:ascii="Arial" w:hAnsi="Arial" w:cs="Arial"/>
                <w:sz w:val="18"/>
                <w:szCs w:val="18"/>
              </w:rPr>
              <w:t>Bestätigung, dass die internen Verfahren die Einhaltung der Vorgaben für den Vertrieb von nachrangigen berücksichtigungsfähigen Verbindlichkeiten gem</w:t>
            </w:r>
            <w:r w:rsidR="008553FF">
              <w:rPr>
                <w:rFonts w:ascii="Arial" w:hAnsi="Arial" w:cs="Arial"/>
                <w:sz w:val="18"/>
                <w:szCs w:val="18"/>
              </w:rPr>
              <w:t xml:space="preserve">äss </w:t>
            </w:r>
            <w:r w:rsidRPr="00B93532">
              <w:rPr>
                <w:rFonts w:ascii="Arial" w:hAnsi="Arial" w:cs="Arial"/>
                <w:sz w:val="18"/>
                <w:szCs w:val="18"/>
              </w:rPr>
              <w:t xml:space="preserve">Art 57a SAG </w:t>
            </w:r>
            <w:r w:rsidR="002D4D9C">
              <w:rPr>
                <w:rFonts w:ascii="Arial" w:hAnsi="Arial" w:cs="Arial"/>
                <w:sz w:val="18"/>
                <w:szCs w:val="18"/>
              </w:rPr>
              <w:t>ermöglichen</w:t>
            </w:r>
            <w:r w:rsidR="005F1602">
              <w:rPr>
                <w:rFonts w:ascii="Arial" w:hAnsi="Arial" w:cs="Arial"/>
                <w:sz w:val="18"/>
                <w:szCs w:val="18"/>
              </w:rPr>
              <w:t>.</w:t>
            </w:r>
          </w:p>
        </w:tc>
        <w:tc>
          <w:tcPr>
            <w:tcW w:w="2522" w:type="dxa"/>
          </w:tcPr>
          <w:p w14:paraId="7C45A575" w14:textId="4A4201F0" w:rsidR="005A05D6" w:rsidRPr="009872F3" w:rsidRDefault="005A05D6" w:rsidP="00C747F0">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D0949D0" w14:textId="58A290E3" w:rsidR="006E2516" w:rsidRDefault="006E2516" w:rsidP="003F36C1">
      <w:pPr>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2655"/>
        <w:gridCol w:w="6549"/>
      </w:tblGrid>
      <w:tr w:rsidR="00DD04AA" w14:paraId="66CD4B62"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E81D3F5" w14:textId="77777777" w:rsidR="00DD04AA" w:rsidRDefault="00DD04AA">
            <w:pPr>
              <w:jc w:val="both"/>
              <w:rPr>
                <w:rFonts w:ascii="Arial" w:eastAsia="Arial" w:hAnsi="Arial" w:cs="Arial"/>
                <w:b/>
                <w:bCs/>
                <w:i/>
                <w:iCs/>
                <w:sz w:val="18"/>
                <w:szCs w:val="18"/>
              </w:rPr>
            </w:pPr>
            <w:r w:rsidRPr="52A6A7C9">
              <w:rPr>
                <w:rFonts w:ascii="Arial" w:eastAsia="Arial" w:hAnsi="Arial" w:cs="Arial"/>
                <w:b/>
                <w:bCs/>
                <w:i/>
                <w:iCs/>
                <w:sz w:val="18"/>
                <w:szCs w:val="18"/>
              </w:rPr>
              <w:lastRenderedPageBreak/>
              <w:t>Prüfelemente</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05AD5CC9" w14:textId="77777777" w:rsidR="00DD04AA" w:rsidRDefault="00DD04AA">
            <w:pPr>
              <w:jc w:val="both"/>
              <w:rPr>
                <w:rFonts w:ascii="Arial" w:eastAsia="Arial" w:hAnsi="Arial" w:cs="Arial"/>
                <w:b/>
                <w:bCs/>
                <w:i/>
                <w:iCs/>
                <w:sz w:val="18"/>
                <w:szCs w:val="18"/>
              </w:rPr>
            </w:pPr>
            <w:r w:rsidRPr="52A6A7C9">
              <w:rPr>
                <w:rFonts w:ascii="Arial" w:eastAsia="Arial" w:hAnsi="Arial" w:cs="Arial"/>
                <w:b/>
                <w:bCs/>
                <w:i/>
                <w:iCs/>
                <w:sz w:val="18"/>
                <w:szCs w:val="18"/>
              </w:rPr>
              <w:t>Mindestprüfinhalte («Muster»)</w:t>
            </w:r>
          </w:p>
        </w:tc>
      </w:tr>
      <w:tr w:rsidR="00DD04AA" w14:paraId="5EF58F08"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CD1C990" w14:textId="77777777" w:rsidR="00DD04AA" w:rsidRDefault="00DD04AA">
            <w:pPr>
              <w:jc w:val="both"/>
              <w:rPr>
                <w:rFonts w:ascii="Arial" w:eastAsia="Arial" w:hAnsi="Arial" w:cs="Arial"/>
                <w:i/>
                <w:iCs/>
                <w:sz w:val="18"/>
                <w:szCs w:val="18"/>
              </w:rPr>
            </w:pPr>
            <w:r w:rsidRPr="52A6A7C9">
              <w:rPr>
                <w:rFonts w:ascii="Arial" w:eastAsia="Arial" w:hAnsi="Arial" w:cs="Arial"/>
                <w:i/>
                <w:iCs/>
                <w:sz w:val="18"/>
                <w:szCs w:val="18"/>
              </w:rPr>
              <w:t xml:space="preserve">Interne Organisation </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472E86C8" w14:textId="77777777" w:rsidR="00DD04AA" w:rsidRPr="00D674EC" w:rsidRDefault="00DD04AA">
            <w:pPr>
              <w:pStyle w:val="Listenabsatz"/>
              <w:numPr>
                <w:ilvl w:val="0"/>
                <w:numId w:val="13"/>
              </w:numPr>
              <w:spacing w:line="259" w:lineRule="auto"/>
              <w:jc w:val="both"/>
              <w:rPr>
                <w:rFonts w:cs="Arial"/>
                <w:i/>
                <w:sz w:val="18"/>
                <w:szCs w:val="18"/>
              </w:rPr>
            </w:pPr>
            <w:r w:rsidRPr="00D674EC">
              <w:rPr>
                <w:rFonts w:cs="Arial"/>
                <w:i/>
                <w:sz w:val="18"/>
                <w:szCs w:val="18"/>
              </w:rPr>
              <w:t xml:space="preserve">Die interne Organisationsstruktur (z.B. Weisungswesen, technische, personelle und fachliche Ressourcen) </w:t>
            </w:r>
            <w:r w:rsidRPr="00F65553">
              <w:rPr>
                <w:rFonts w:cs="Arial"/>
                <w:i/>
                <w:sz w:val="18"/>
                <w:szCs w:val="18"/>
              </w:rPr>
              <w:t xml:space="preserve">stellt sicher, dass Verfahren </w:t>
            </w:r>
            <w:r>
              <w:rPr>
                <w:rFonts w:cs="Arial"/>
                <w:i/>
                <w:sz w:val="18"/>
                <w:szCs w:val="18"/>
              </w:rPr>
              <w:t xml:space="preserve">zur </w:t>
            </w:r>
            <w:r w:rsidRPr="00F65553">
              <w:rPr>
                <w:rFonts w:cs="Arial"/>
                <w:i/>
                <w:sz w:val="18"/>
                <w:szCs w:val="18"/>
              </w:rPr>
              <w:t xml:space="preserve">Einhaltung der Vorgaben für den Vertrieb von nachrangigen berücksichtigungsfähigen Verbindlichkeiten </w:t>
            </w:r>
            <w:r>
              <w:rPr>
                <w:rFonts w:cs="Arial"/>
                <w:i/>
                <w:sz w:val="18"/>
                <w:szCs w:val="18"/>
              </w:rPr>
              <w:t>existieren und schriftlich festgehalten sind</w:t>
            </w:r>
          </w:p>
        </w:tc>
      </w:tr>
      <w:tr w:rsidR="00DD04AA" w14:paraId="2AB884F8"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0D7D00B9" w14:textId="77777777" w:rsidR="00DD04AA" w:rsidRDefault="00DD04AA">
            <w:pPr>
              <w:jc w:val="both"/>
              <w:rPr>
                <w:rFonts w:ascii="Arial" w:eastAsia="Arial" w:hAnsi="Arial" w:cs="Arial"/>
                <w:i/>
                <w:iCs/>
                <w:sz w:val="18"/>
                <w:szCs w:val="18"/>
              </w:rPr>
            </w:pPr>
            <w:r w:rsidRPr="52A6A7C9">
              <w:rPr>
                <w:rFonts w:ascii="Arial" w:eastAsia="Arial" w:hAnsi="Arial" w:cs="Arial"/>
                <w:i/>
                <w:iCs/>
                <w:sz w:val="18"/>
                <w:szCs w:val="18"/>
              </w:rPr>
              <w:t>Internes Kontrollsystem, Prozesse und Berichterstattung</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0F917261" w14:textId="77777777" w:rsidR="00DD04AA" w:rsidRPr="00C30F61" w:rsidRDefault="00DD04AA">
            <w:pPr>
              <w:pStyle w:val="Listenabsatz"/>
              <w:numPr>
                <w:ilvl w:val="0"/>
                <w:numId w:val="13"/>
              </w:numPr>
              <w:rPr>
                <w:rFonts w:cs="Arial"/>
                <w:i/>
                <w:sz w:val="18"/>
                <w:szCs w:val="18"/>
              </w:rPr>
            </w:pPr>
            <w:r w:rsidRPr="00C30F61">
              <w:rPr>
                <w:rFonts w:cs="Arial"/>
                <w:i/>
                <w:sz w:val="18"/>
                <w:szCs w:val="18"/>
              </w:rPr>
              <w:t xml:space="preserve">Die internen Verfahren sehen die Anwendung des 4-Augen-Prinzips </w:t>
            </w:r>
            <w:r>
              <w:rPr>
                <w:rFonts w:cs="Arial"/>
                <w:i/>
                <w:sz w:val="18"/>
                <w:szCs w:val="18"/>
              </w:rPr>
              <w:t>bzw.</w:t>
            </w:r>
            <w:r w:rsidRPr="00C30F61">
              <w:rPr>
                <w:rFonts w:cs="Arial"/>
                <w:i/>
                <w:sz w:val="18"/>
                <w:szCs w:val="18"/>
              </w:rPr>
              <w:t xml:space="preserve"> Funktionstrennung bei Schlüsselkontrollen vor</w:t>
            </w:r>
          </w:p>
          <w:p w14:paraId="59DDBD6B" w14:textId="77777777" w:rsidR="00DD04AA" w:rsidRPr="00D674EC" w:rsidRDefault="00DD04AA">
            <w:pPr>
              <w:pStyle w:val="Listenabsatz"/>
              <w:numPr>
                <w:ilvl w:val="0"/>
                <w:numId w:val="13"/>
              </w:numPr>
              <w:spacing w:line="259" w:lineRule="auto"/>
              <w:jc w:val="both"/>
              <w:rPr>
                <w:rFonts w:cs="Arial"/>
                <w:i/>
                <w:sz w:val="18"/>
                <w:szCs w:val="18"/>
              </w:rPr>
            </w:pPr>
            <w:r w:rsidRPr="00D674EC">
              <w:rPr>
                <w:rFonts w:cs="Arial"/>
                <w:i/>
                <w:sz w:val="18"/>
                <w:szCs w:val="18"/>
              </w:rPr>
              <w:t xml:space="preserve">Die Prozesse ermöglichen die Identifizierung von nachrangigen berücksichtigungsfähigen Verbindlichkeiten </w:t>
            </w:r>
          </w:p>
        </w:tc>
      </w:tr>
    </w:tbl>
    <w:p w14:paraId="6F9D4A79" w14:textId="77777777" w:rsidR="007A7024" w:rsidRDefault="007A7024" w:rsidP="003F36C1">
      <w:pPr>
        <w:rPr>
          <w:rFonts w:ascii="Arial" w:hAnsi="Arial" w:cs="Arial"/>
          <w:sz w:val="20"/>
          <w:szCs w:val="20"/>
        </w:rPr>
      </w:pPr>
    </w:p>
    <w:p w14:paraId="6AAFF743" w14:textId="77777777" w:rsidR="006E61B7" w:rsidRDefault="00983BE0" w:rsidP="00C37D08">
      <w:pPr>
        <w:pStyle w:val="FINMAGliederungEbene2"/>
      </w:pPr>
      <w:bookmarkStart w:id="19" w:name="_Toc147141449"/>
      <w:r>
        <w:t>Meldewesen</w:t>
      </w:r>
      <w:bookmarkEnd w:id="19"/>
      <w:r w:rsidR="000060F7">
        <w:t xml:space="preserve"> </w:t>
      </w:r>
    </w:p>
    <w:p w14:paraId="3BC4FECD" w14:textId="77777777" w:rsidR="006E61B7" w:rsidRPr="006067FE" w:rsidRDefault="006E61B7" w:rsidP="006E61B7">
      <w:pPr>
        <w:pStyle w:val="FINMAGliederungEbene2"/>
        <w:numPr>
          <w:ilvl w:val="0"/>
          <w:numId w:val="0"/>
        </w:numPr>
        <w:ind w:left="576"/>
      </w:pPr>
    </w:p>
    <w:tbl>
      <w:tblPr>
        <w:tblStyle w:val="Tabellenraster"/>
        <w:tblW w:w="0" w:type="auto"/>
        <w:tblLook w:val="04A0" w:firstRow="1" w:lastRow="0" w:firstColumn="1" w:lastColumn="0" w:noHBand="0" w:noVBand="1"/>
      </w:tblPr>
      <w:tblGrid>
        <w:gridCol w:w="317"/>
        <w:gridCol w:w="1653"/>
        <w:gridCol w:w="2145"/>
        <w:gridCol w:w="1721"/>
        <w:gridCol w:w="1001"/>
        <w:gridCol w:w="2381"/>
      </w:tblGrid>
      <w:tr w:rsidR="006E61B7" w:rsidRPr="009872F3" w14:paraId="408F18C7" w14:textId="77777777" w:rsidTr="00D06444">
        <w:trPr>
          <w:trHeight w:val="563"/>
        </w:trPr>
        <w:tc>
          <w:tcPr>
            <w:tcW w:w="1970" w:type="dxa"/>
            <w:gridSpan w:val="2"/>
            <w:shd w:val="clear" w:color="auto" w:fill="DBE5F1" w:themeFill="accent1" w:themeFillTint="33"/>
          </w:tcPr>
          <w:p w14:paraId="0F6FCDD3" w14:textId="77777777" w:rsidR="006E61B7" w:rsidRPr="009872F3" w:rsidRDefault="006E61B7" w:rsidP="006E61B7">
            <w:pPr>
              <w:jc w:val="both"/>
              <w:rPr>
                <w:rFonts w:ascii="Arial" w:hAnsi="Arial" w:cs="Arial"/>
                <w:sz w:val="18"/>
                <w:szCs w:val="18"/>
              </w:rPr>
            </w:pPr>
            <w:r w:rsidRPr="009872F3">
              <w:rPr>
                <w:rFonts w:ascii="Arial" w:hAnsi="Arial" w:cs="Arial"/>
                <w:sz w:val="18"/>
                <w:szCs w:val="18"/>
              </w:rPr>
              <w:t>Nettorisiko</w:t>
            </w:r>
          </w:p>
        </w:tc>
        <w:tc>
          <w:tcPr>
            <w:tcW w:w="2145" w:type="dxa"/>
            <w:shd w:val="clear" w:color="auto" w:fill="DBE5F1" w:themeFill="accent1" w:themeFillTint="33"/>
          </w:tcPr>
          <w:p w14:paraId="4F37D8D7" w14:textId="77777777" w:rsidR="006E61B7" w:rsidRPr="009872F3" w:rsidRDefault="006E61B7" w:rsidP="006E61B7">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2C868AFF" w14:textId="77777777" w:rsidR="006E61B7" w:rsidRPr="009872F3" w:rsidRDefault="006E61B7" w:rsidP="006E61B7">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61B7" w:rsidRPr="009872F3" w14:paraId="5B66A12E" w14:textId="77777777" w:rsidTr="00D06444">
        <w:trPr>
          <w:trHeight w:val="698"/>
        </w:trPr>
        <w:tc>
          <w:tcPr>
            <w:tcW w:w="1970" w:type="dxa"/>
            <w:gridSpan w:val="2"/>
            <w:shd w:val="clear" w:color="auto" w:fill="DBE5F1" w:themeFill="accent1" w:themeFillTint="33"/>
          </w:tcPr>
          <w:p w14:paraId="4CB6505A" w14:textId="77777777" w:rsidR="006E61B7" w:rsidRPr="006749F0" w:rsidRDefault="006E61B7" w:rsidP="006E61B7">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0935602B" w14:textId="77777777" w:rsidR="006E61B7" w:rsidRPr="006749F0" w:rsidRDefault="006E61B7" w:rsidP="006E61B7">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5FB7126F" w14:textId="77777777" w:rsidR="006E61B7" w:rsidRPr="009872F3" w:rsidRDefault="006E61B7" w:rsidP="006E61B7">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0D4B0ABD" w14:textId="77777777" w:rsidR="006E61B7" w:rsidRDefault="006E61B7" w:rsidP="006E61B7">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2E7A30B" w14:textId="77777777" w:rsidR="006E61B7" w:rsidRPr="006749F0" w:rsidRDefault="006E61B7" w:rsidP="006E61B7">
            <w:pPr>
              <w:jc w:val="both"/>
              <w:rPr>
                <w:rFonts w:ascii="Arial" w:hAnsi="Arial" w:cs="Arial"/>
                <w:i/>
                <w:sz w:val="18"/>
                <w:szCs w:val="18"/>
              </w:rPr>
            </w:pPr>
            <w:r w:rsidRPr="006749F0">
              <w:rPr>
                <w:rFonts w:ascii="Arial" w:hAnsi="Arial" w:cs="Arial"/>
                <w:i/>
                <w:sz w:val="18"/>
                <w:szCs w:val="18"/>
                <w:highlight w:val="yellow"/>
              </w:rPr>
              <w:t>Jahr</w:t>
            </w:r>
          </w:p>
        </w:tc>
      </w:tr>
      <w:tr w:rsidR="006E61B7" w:rsidRPr="009872F3" w14:paraId="7BB54F53" w14:textId="77777777" w:rsidTr="00D06444">
        <w:trPr>
          <w:trHeight w:val="636"/>
        </w:trPr>
        <w:tc>
          <w:tcPr>
            <w:tcW w:w="9218" w:type="dxa"/>
            <w:gridSpan w:val="6"/>
            <w:shd w:val="clear" w:color="auto" w:fill="DBE5F1" w:themeFill="accent1" w:themeFillTint="33"/>
          </w:tcPr>
          <w:p w14:paraId="50776D32" w14:textId="77777777" w:rsidR="007D6216" w:rsidRPr="00D32831" w:rsidRDefault="007D6216" w:rsidP="007D6216">
            <w:pPr>
              <w:jc w:val="both"/>
              <w:rPr>
                <w:rFonts w:ascii="Arial" w:hAnsi="Arial" w:cs="Arial"/>
                <w:i/>
                <w:sz w:val="18"/>
                <w:szCs w:val="18"/>
              </w:rPr>
            </w:pPr>
            <w:r w:rsidRPr="00D32831">
              <w:rPr>
                <w:rFonts w:ascii="Arial" w:hAnsi="Arial" w:cs="Arial"/>
                <w:i/>
                <w:sz w:val="18"/>
                <w:szCs w:val="18"/>
              </w:rPr>
              <w:t xml:space="preserve">Referenzen (demonstrativ): </w:t>
            </w:r>
          </w:p>
          <w:p w14:paraId="10A4E82A" w14:textId="3D049AD7" w:rsidR="007D6216" w:rsidRDefault="007D6216" w:rsidP="00C37D08">
            <w:pPr>
              <w:pStyle w:val="Listenabsatz"/>
              <w:numPr>
                <w:ilvl w:val="0"/>
                <w:numId w:val="9"/>
              </w:numPr>
              <w:ind w:left="308"/>
              <w:jc w:val="both"/>
              <w:rPr>
                <w:rFonts w:cs="Arial"/>
                <w:sz w:val="18"/>
                <w:szCs w:val="18"/>
              </w:rPr>
            </w:pPr>
            <w:r w:rsidRPr="002176A6">
              <w:rPr>
                <w:rFonts w:cs="Arial"/>
                <w:sz w:val="18"/>
                <w:szCs w:val="18"/>
              </w:rPr>
              <w:t xml:space="preserve">Art. </w:t>
            </w:r>
            <w:r w:rsidR="00BB5240">
              <w:rPr>
                <w:rFonts w:cs="Arial"/>
                <w:sz w:val="18"/>
                <w:szCs w:val="18"/>
              </w:rPr>
              <w:t xml:space="preserve">61 </w:t>
            </w:r>
            <w:r w:rsidRPr="002176A6">
              <w:rPr>
                <w:rFonts w:cs="Arial"/>
                <w:sz w:val="18"/>
                <w:szCs w:val="18"/>
              </w:rPr>
              <w:t>SAG</w:t>
            </w:r>
            <w:r w:rsidR="00BB5240">
              <w:rPr>
                <w:rFonts w:cs="Arial"/>
                <w:sz w:val="18"/>
                <w:szCs w:val="18"/>
              </w:rPr>
              <w:t xml:space="preserve"> </w:t>
            </w:r>
          </w:p>
          <w:p w14:paraId="5CA46A14" w14:textId="77777777" w:rsidR="00CB2EE6" w:rsidRPr="002176A6" w:rsidRDefault="00CB2EE6" w:rsidP="00CB2EE6">
            <w:pPr>
              <w:pStyle w:val="Listenabsatz"/>
              <w:numPr>
                <w:ilvl w:val="0"/>
                <w:numId w:val="9"/>
              </w:numPr>
              <w:ind w:left="308"/>
              <w:jc w:val="both"/>
              <w:rPr>
                <w:rFonts w:cs="Arial"/>
                <w:sz w:val="18"/>
                <w:szCs w:val="18"/>
              </w:rPr>
            </w:pPr>
            <w:r w:rsidRPr="007D6216">
              <w:rPr>
                <w:rFonts w:cs="Arial"/>
                <w:sz w:val="18"/>
                <w:szCs w:val="18"/>
              </w:rPr>
              <w:t>Durchführungsverordnung (EU) 2018/1624 («Resolution Reporting»)</w:t>
            </w:r>
          </w:p>
          <w:p w14:paraId="04C8DE52" w14:textId="7D810DDE" w:rsidR="007D6216" w:rsidRPr="007D6216" w:rsidRDefault="007D6216" w:rsidP="00C37D08">
            <w:pPr>
              <w:pStyle w:val="Listenabsatz"/>
              <w:numPr>
                <w:ilvl w:val="0"/>
                <w:numId w:val="9"/>
              </w:numPr>
              <w:ind w:left="308"/>
              <w:jc w:val="both"/>
              <w:rPr>
                <w:rFonts w:cs="Arial"/>
                <w:sz w:val="18"/>
                <w:szCs w:val="18"/>
              </w:rPr>
            </w:pPr>
            <w:r w:rsidRPr="007D6216">
              <w:rPr>
                <w:rFonts w:cs="Arial"/>
                <w:sz w:val="18"/>
                <w:szCs w:val="18"/>
              </w:rPr>
              <w:t>Durchführungsverordnung (EU) 2021/763 (Meldung und Offenlegung)</w:t>
            </w:r>
          </w:p>
          <w:p w14:paraId="6A1A92B7" w14:textId="723608F6" w:rsidR="00513908" w:rsidRDefault="00513908" w:rsidP="00C37D08">
            <w:pPr>
              <w:pStyle w:val="Listenabsatz"/>
              <w:numPr>
                <w:ilvl w:val="0"/>
                <w:numId w:val="9"/>
              </w:numPr>
              <w:ind w:left="308"/>
              <w:jc w:val="both"/>
              <w:rPr>
                <w:rFonts w:cs="Arial"/>
                <w:sz w:val="18"/>
                <w:szCs w:val="18"/>
              </w:rPr>
            </w:pPr>
            <w:r>
              <w:rPr>
                <w:rFonts w:cs="Arial"/>
                <w:sz w:val="18"/>
                <w:szCs w:val="18"/>
              </w:rPr>
              <w:t>FMA-Mitteilung 2019/3 betreffend Meldewesen für die Abwicklungsbehörde</w:t>
            </w:r>
          </w:p>
          <w:p w14:paraId="0019E00F" w14:textId="6ACD8956" w:rsidR="007D6216" w:rsidRPr="009872F3" w:rsidRDefault="007D6216" w:rsidP="00C37D08">
            <w:pPr>
              <w:pStyle w:val="Listenabsatz"/>
              <w:numPr>
                <w:ilvl w:val="0"/>
                <w:numId w:val="9"/>
              </w:numPr>
              <w:ind w:left="308"/>
              <w:jc w:val="both"/>
              <w:rPr>
                <w:rFonts w:cs="Arial"/>
                <w:sz w:val="18"/>
                <w:szCs w:val="18"/>
              </w:rPr>
            </w:pPr>
            <w:r w:rsidRPr="002176A6">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6E61B7" w:rsidRPr="009872F3" w14:paraId="280AD4FE" w14:textId="77777777" w:rsidTr="00D06444">
        <w:trPr>
          <w:trHeight w:val="294"/>
        </w:trPr>
        <w:tc>
          <w:tcPr>
            <w:tcW w:w="9218" w:type="dxa"/>
            <w:gridSpan w:val="6"/>
          </w:tcPr>
          <w:p w14:paraId="75B125FA" w14:textId="77777777" w:rsidR="006E61B7" w:rsidRPr="009872F3" w:rsidRDefault="006E61B7" w:rsidP="006E61B7">
            <w:pPr>
              <w:jc w:val="both"/>
              <w:rPr>
                <w:rFonts w:ascii="Arial" w:hAnsi="Arial" w:cs="Arial"/>
                <w:sz w:val="18"/>
                <w:szCs w:val="18"/>
              </w:rPr>
            </w:pPr>
          </w:p>
        </w:tc>
      </w:tr>
      <w:tr w:rsidR="00D06444" w:rsidRPr="009872F3" w14:paraId="28F21F6A" w14:textId="77777777" w:rsidTr="00D06444">
        <w:trPr>
          <w:trHeight w:val="294"/>
        </w:trPr>
        <w:tc>
          <w:tcPr>
            <w:tcW w:w="317" w:type="dxa"/>
          </w:tcPr>
          <w:p w14:paraId="30210765" w14:textId="3F15C3B8" w:rsidR="00D06444" w:rsidRPr="009872F3" w:rsidRDefault="00D06444" w:rsidP="00D06444">
            <w:pPr>
              <w:jc w:val="both"/>
              <w:rPr>
                <w:rFonts w:ascii="Arial" w:hAnsi="Arial" w:cs="Arial"/>
                <w:sz w:val="18"/>
                <w:szCs w:val="18"/>
              </w:rPr>
            </w:pPr>
            <w:r>
              <w:rPr>
                <w:rFonts w:ascii="Arial" w:hAnsi="Arial" w:cs="Arial"/>
                <w:sz w:val="18"/>
                <w:szCs w:val="18"/>
              </w:rPr>
              <w:t>1</w:t>
            </w:r>
          </w:p>
        </w:tc>
        <w:tc>
          <w:tcPr>
            <w:tcW w:w="6520" w:type="dxa"/>
            <w:gridSpan w:val="4"/>
          </w:tcPr>
          <w:p w14:paraId="7E258D12" w14:textId="628E9449" w:rsidR="00D06444" w:rsidRPr="009872F3" w:rsidRDefault="00D06444" w:rsidP="00D06444">
            <w:pPr>
              <w:jc w:val="both"/>
              <w:rPr>
                <w:rFonts w:ascii="Arial" w:hAnsi="Arial" w:cs="Arial"/>
                <w:sz w:val="18"/>
                <w:szCs w:val="18"/>
              </w:rPr>
            </w:pPr>
            <w:r>
              <w:rPr>
                <w:rFonts w:ascii="Arial" w:hAnsi="Arial" w:cs="Arial"/>
                <w:sz w:val="18"/>
                <w:szCs w:val="18"/>
              </w:rPr>
              <w:t xml:space="preserve">Bestätigung, dass die internen Verfahren korrekte </w:t>
            </w:r>
            <w:r w:rsidR="00FD4544">
              <w:rPr>
                <w:rFonts w:ascii="Arial" w:hAnsi="Arial" w:cs="Arial"/>
                <w:sz w:val="18"/>
                <w:szCs w:val="18"/>
              </w:rPr>
              <w:t xml:space="preserve">und </w:t>
            </w:r>
            <w:r>
              <w:rPr>
                <w:rFonts w:ascii="Arial" w:hAnsi="Arial" w:cs="Arial"/>
                <w:sz w:val="18"/>
                <w:szCs w:val="18"/>
              </w:rPr>
              <w:t xml:space="preserve">vollständige Meldungen gemäss der </w:t>
            </w:r>
            <w:r w:rsidRPr="00B56D96">
              <w:rPr>
                <w:rFonts w:ascii="Arial" w:hAnsi="Arial" w:cs="Arial"/>
                <w:sz w:val="18"/>
                <w:szCs w:val="18"/>
              </w:rPr>
              <w:t xml:space="preserve">Durchführungsverordnung </w:t>
            </w:r>
            <w:r w:rsidR="0049574D">
              <w:rPr>
                <w:rFonts w:ascii="Arial" w:hAnsi="Arial" w:cs="Arial"/>
                <w:sz w:val="18"/>
                <w:szCs w:val="18"/>
              </w:rPr>
              <w:t xml:space="preserve">(EU) </w:t>
            </w:r>
            <w:r w:rsidRPr="00B56D96">
              <w:rPr>
                <w:rFonts w:ascii="Arial" w:hAnsi="Arial" w:cs="Arial"/>
                <w:sz w:val="18"/>
                <w:szCs w:val="18"/>
              </w:rPr>
              <w:t>2018/1624 («Resolution Reporting») sicherstellen</w:t>
            </w:r>
            <w:r w:rsidR="005F1602">
              <w:rPr>
                <w:rFonts w:ascii="Arial" w:hAnsi="Arial" w:cs="Arial"/>
                <w:sz w:val="18"/>
                <w:szCs w:val="18"/>
              </w:rPr>
              <w:t>.</w:t>
            </w:r>
          </w:p>
        </w:tc>
        <w:tc>
          <w:tcPr>
            <w:tcW w:w="2381" w:type="dxa"/>
          </w:tcPr>
          <w:p w14:paraId="032B2333" w14:textId="6C0D9071" w:rsidR="00D06444" w:rsidRPr="009872F3" w:rsidRDefault="00D06444" w:rsidP="00D06444">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06444" w:rsidRPr="009872F3" w14:paraId="2E311B66" w14:textId="77777777" w:rsidTr="00D06444">
        <w:trPr>
          <w:trHeight w:val="294"/>
        </w:trPr>
        <w:tc>
          <w:tcPr>
            <w:tcW w:w="317" w:type="dxa"/>
          </w:tcPr>
          <w:p w14:paraId="567E2E8D" w14:textId="41022EC7" w:rsidR="00D06444" w:rsidRPr="009872F3" w:rsidRDefault="00D06444" w:rsidP="00D06444">
            <w:pPr>
              <w:jc w:val="both"/>
              <w:rPr>
                <w:rFonts w:ascii="Arial" w:hAnsi="Arial" w:cs="Arial"/>
                <w:sz w:val="18"/>
                <w:szCs w:val="18"/>
              </w:rPr>
            </w:pPr>
            <w:r>
              <w:rPr>
                <w:rFonts w:ascii="Arial" w:hAnsi="Arial" w:cs="Arial"/>
                <w:sz w:val="18"/>
                <w:szCs w:val="18"/>
              </w:rPr>
              <w:t>2</w:t>
            </w:r>
          </w:p>
        </w:tc>
        <w:tc>
          <w:tcPr>
            <w:tcW w:w="6520" w:type="dxa"/>
            <w:gridSpan w:val="4"/>
          </w:tcPr>
          <w:p w14:paraId="41CCC238" w14:textId="0D867EDD" w:rsidR="00D06444" w:rsidRPr="009872F3" w:rsidRDefault="00D06444" w:rsidP="00D06444">
            <w:pPr>
              <w:jc w:val="both"/>
              <w:rPr>
                <w:rFonts w:ascii="Arial" w:hAnsi="Arial" w:cs="Arial"/>
                <w:sz w:val="18"/>
                <w:szCs w:val="18"/>
              </w:rPr>
            </w:pPr>
            <w:r>
              <w:rPr>
                <w:rFonts w:ascii="Arial" w:hAnsi="Arial" w:cs="Arial"/>
                <w:sz w:val="18"/>
                <w:szCs w:val="18"/>
              </w:rPr>
              <w:t xml:space="preserve">Bestätigung, dass die internen Verfahren korrekte </w:t>
            </w:r>
            <w:r w:rsidR="003E2ACA">
              <w:rPr>
                <w:rFonts w:ascii="Arial" w:hAnsi="Arial" w:cs="Arial"/>
                <w:sz w:val="18"/>
                <w:szCs w:val="18"/>
              </w:rPr>
              <w:t xml:space="preserve">und </w:t>
            </w:r>
            <w:r>
              <w:rPr>
                <w:rFonts w:ascii="Arial" w:hAnsi="Arial" w:cs="Arial"/>
                <w:sz w:val="18"/>
                <w:szCs w:val="18"/>
              </w:rPr>
              <w:t xml:space="preserve">vollständige Meldungen gemäss der Durchführungsverordnung </w:t>
            </w:r>
            <w:r w:rsidR="0049574D">
              <w:rPr>
                <w:rFonts w:ascii="Arial" w:hAnsi="Arial" w:cs="Arial"/>
                <w:sz w:val="18"/>
                <w:szCs w:val="18"/>
              </w:rPr>
              <w:t xml:space="preserve">(EU) </w:t>
            </w:r>
            <w:r>
              <w:rPr>
                <w:rFonts w:ascii="Arial" w:hAnsi="Arial" w:cs="Arial"/>
                <w:sz w:val="18"/>
                <w:szCs w:val="18"/>
              </w:rPr>
              <w:t>2021/763 («MREL-Reporting») sicherstellen.</w:t>
            </w:r>
          </w:p>
        </w:tc>
        <w:tc>
          <w:tcPr>
            <w:tcW w:w="2381" w:type="dxa"/>
          </w:tcPr>
          <w:p w14:paraId="6743C6DE" w14:textId="3F8D362E" w:rsidR="00D06444" w:rsidRPr="00E109DF" w:rsidRDefault="00D06444" w:rsidP="00D06444">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10691" w:rsidRPr="009872F3" w14:paraId="49E976C9" w14:textId="77777777" w:rsidTr="00D06444">
        <w:trPr>
          <w:trHeight w:val="294"/>
        </w:trPr>
        <w:tc>
          <w:tcPr>
            <w:tcW w:w="317" w:type="dxa"/>
          </w:tcPr>
          <w:p w14:paraId="2BBAAD2A" w14:textId="1C7EE4F3" w:rsidR="00910691" w:rsidRDefault="00910691" w:rsidP="00D06444">
            <w:pPr>
              <w:jc w:val="both"/>
              <w:rPr>
                <w:rFonts w:ascii="Arial" w:hAnsi="Arial" w:cs="Arial"/>
                <w:sz w:val="18"/>
                <w:szCs w:val="18"/>
              </w:rPr>
            </w:pPr>
            <w:r>
              <w:rPr>
                <w:rFonts w:ascii="Arial" w:hAnsi="Arial" w:cs="Arial"/>
                <w:sz w:val="18"/>
                <w:szCs w:val="18"/>
              </w:rPr>
              <w:t>3</w:t>
            </w:r>
          </w:p>
        </w:tc>
        <w:tc>
          <w:tcPr>
            <w:tcW w:w="6520" w:type="dxa"/>
            <w:gridSpan w:val="4"/>
          </w:tcPr>
          <w:p w14:paraId="3391E48C" w14:textId="03F72382" w:rsidR="00910691" w:rsidRDefault="00910691" w:rsidP="00D06444">
            <w:pPr>
              <w:jc w:val="both"/>
              <w:rPr>
                <w:rFonts w:ascii="Arial" w:hAnsi="Arial" w:cs="Arial"/>
                <w:sz w:val="18"/>
                <w:szCs w:val="18"/>
              </w:rPr>
            </w:pPr>
            <w:r>
              <w:rPr>
                <w:rFonts w:ascii="Arial" w:hAnsi="Arial" w:cs="Arial"/>
                <w:sz w:val="18"/>
                <w:szCs w:val="18"/>
              </w:rPr>
              <w:t xml:space="preserve">Bestätigung, dass interne Verfahren </w:t>
            </w:r>
            <w:r w:rsidR="00D305D0">
              <w:rPr>
                <w:rFonts w:ascii="Arial" w:hAnsi="Arial" w:cs="Arial"/>
                <w:sz w:val="18"/>
                <w:szCs w:val="18"/>
              </w:rPr>
              <w:t>bestehen, um</w:t>
            </w:r>
            <w:r>
              <w:rPr>
                <w:rFonts w:ascii="Arial" w:hAnsi="Arial" w:cs="Arial"/>
                <w:sz w:val="18"/>
                <w:szCs w:val="18"/>
              </w:rPr>
              <w:t xml:space="preserve"> im Bedarfsfall höhere Meldefrequenzen</w:t>
            </w:r>
            <w:r w:rsidR="00D7344F">
              <w:rPr>
                <w:rFonts w:ascii="Arial" w:hAnsi="Arial" w:cs="Arial"/>
                <w:sz w:val="18"/>
                <w:szCs w:val="18"/>
              </w:rPr>
              <w:t xml:space="preserve"> </w:t>
            </w:r>
            <w:r w:rsidR="56731776" w:rsidRPr="06D9602D">
              <w:rPr>
                <w:rFonts w:ascii="Arial" w:hAnsi="Arial" w:cs="Arial"/>
                <w:sz w:val="18"/>
                <w:szCs w:val="18"/>
              </w:rPr>
              <w:t xml:space="preserve">zu </w:t>
            </w:r>
            <w:r w:rsidR="5A3EB275" w:rsidRPr="06D9602D">
              <w:rPr>
                <w:rFonts w:ascii="Arial" w:hAnsi="Arial" w:cs="Arial"/>
                <w:sz w:val="18"/>
                <w:szCs w:val="18"/>
              </w:rPr>
              <w:t>ermöglichen</w:t>
            </w:r>
          </w:p>
        </w:tc>
        <w:tc>
          <w:tcPr>
            <w:tcW w:w="2381" w:type="dxa"/>
          </w:tcPr>
          <w:p w14:paraId="7EF9A2DA" w14:textId="445D27FC" w:rsidR="00910691" w:rsidRPr="00E109DF" w:rsidRDefault="00910691" w:rsidP="00D06444">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191F8EC" w14:textId="45D78BAD" w:rsidR="006E61B7" w:rsidRDefault="006E61B7" w:rsidP="00985F22">
      <w:pPr>
        <w:pStyle w:val="FINMAGliederungEbene2"/>
        <w:numPr>
          <w:ilvl w:val="0"/>
          <w:numId w:val="0"/>
        </w:numPr>
      </w:pPr>
    </w:p>
    <w:tbl>
      <w:tblPr>
        <w:tblStyle w:val="Tabellenraster"/>
        <w:tblW w:w="0" w:type="auto"/>
        <w:tblLayout w:type="fixed"/>
        <w:tblLook w:val="04A0" w:firstRow="1" w:lastRow="0" w:firstColumn="1" w:lastColumn="0" w:noHBand="0" w:noVBand="1"/>
      </w:tblPr>
      <w:tblGrid>
        <w:gridCol w:w="2655"/>
        <w:gridCol w:w="6549"/>
      </w:tblGrid>
      <w:tr w:rsidR="00406100" w14:paraId="7364B121"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2E088D41" w14:textId="77777777" w:rsidR="00406100" w:rsidRDefault="00406100" w:rsidP="00387D17">
            <w:pPr>
              <w:jc w:val="both"/>
              <w:rPr>
                <w:rFonts w:ascii="Arial" w:eastAsia="Arial" w:hAnsi="Arial" w:cs="Arial"/>
                <w:b/>
                <w:bCs/>
                <w:i/>
                <w:iCs/>
                <w:sz w:val="18"/>
                <w:szCs w:val="18"/>
              </w:rPr>
            </w:pPr>
            <w:r w:rsidRPr="105E438B">
              <w:rPr>
                <w:rFonts w:ascii="Arial" w:eastAsia="Arial" w:hAnsi="Arial" w:cs="Arial"/>
                <w:b/>
                <w:bCs/>
                <w:i/>
                <w:iCs/>
                <w:sz w:val="18"/>
                <w:szCs w:val="18"/>
              </w:rPr>
              <w:t>Prüfelemente</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191FC8BD" w14:textId="77777777" w:rsidR="00406100" w:rsidRDefault="00406100" w:rsidP="00387D17">
            <w:pPr>
              <w:jc w:val="both"/>
              <w:rPr>
                <w:rFonts w:ascii="Arial" w:eastAsia="Arial" w:hAnsi="Arial" w:cs="Arial"/>
                <w:b/>
                <w:bCs/>
                <w:i/>
                <w:iCs/>
                <w:sz w:val="18"/>
                <w:szCs w:val="18"/>
              </w:rPr>
            </w:pPr>
            <w:r w:rsidRPr="002D0096">
              <w:rPr>
                <w:rFonts w:ascii="Arial" w:eastAsia="Arial" w:hAnsi="Arial" w:cs="Arial"/>
                <w:b/>
                <w:bCs/>
                <w:i/>
                <w:iCs/>
                <w:sz w:val="18"/>
                <w:szCs w:val="18"/>
              </w:rPr>
              <w:t>Mindestprüfinhalt</w:t>
            </w:r>
            <w:r w:rsidRPr="002D0096">
              <w:rPr>
                <w:rFonts w:ascii="Arial" w:hAnsi="Arial" w:cs="Arial"/>
                <w:b/>
                <w:bCs/>
                <w:i/>
                <w:iCs/>
                <w:sz w:val="18"/>
                <w:szCs w:val="18"/>
              </w:rPr>
              <w:t>e («Muster»)</w:t>
            </w:r>
          </w:p>
        </w:tc>
      </w:tr>
      <w:tr w:rsidR="0030462C" w14:paraId="50FEFB09"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487A29D" w14:textId="31895577" w:rsidR="0030462C" w:rsidRPr="00594F87" w:rsidRDefault="006813DD" w:rsidP="00387D17">
            <w:pPr>
              <w:jc w:val="both"/>
              <w:rPr>
                <w:rFonts w:ascii="Arial" w:eastAsia="Arial" w:hAnsi="Arial" w:cs="Arial"/>
                <w:i/>
                <w:iCs/>
                <w:sz w:val="18"/>
                <w:szCs w:val="18"/>
              </w:rPr>
            </w:pPr>
            <w:r>
              <w:rPr>
                <w:rFonts w:ascii="Arial" w:eastAsia="Arial" w:hAnsi="Arial" w:cs="Arial"/>
                <w:i/>
                <w:iCs/>
                <w:sz w:val="18"/>
                <w:szCs w:val="18"/>
              </w:rPr>
              <w:t xml:space="preserve">Interne Organisation </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19DB853E" w14:textId="4F389B32" w:rsidR="006813DD" w:rsidRPr="00685831" w:rsidRDefault="006813DD" w:rsidP="00C37D08">
            <w:pPr>
              <w:pStyle w:val="Listenabsatz"/>
              <w:numPr>
                <w:ilvl w:val="1"/>
                <w:numId w:val="10"/>
              </w:numPr>
              <w:spacing w:line="259" w:lineRule="auto"/>
              <w:ind w:left="317" w:hanging="283"/>
              <w:jc w:val="both"/>
              <w:rPr>
                <w:rFonts w:cs="Arial"/>
                <w:i/>
                <w:iCs/>
                <w:sz w:val="18"/>
                <w:szCs w:val="18"/>
              </w:rPr>
            </w:pPr>
            <w:r w:rsidRPr="00C3378F">
              <w:rPr>
                <w:rFonts w:cs="Arial"/>
                <w:i/>
                <w:iCs/>
                <w:sz w:val="18"/>
                <w:szCs w:val="18"/>
              </w:rPr>
              <w:t xml:space="preserve">Die interne Organisationsstruktur (z.B. Weisungswesen, </w:t>
            </w:r>
            <w:r w:rsidRPr="00685831">
              <w:rPr>
                <w:rFonts w:cs="Arial"/>
                <w:i/>
                <w:iCs/>
                <w:sz w:val="18"/>
                <w:szCs w:val="18"/>
              </w:rPr>
              <w:t>technische</w:t>
            </w:r>
            <w:r w:rsidR="00312707">
              <w:rPr>
                <w:rFonts w:cs="Arial"/>
                <w:i/>
                <w:iCs/>
                <w:sz w:val="18"/>
                <w:szCs w:val="18"/>
              </w:rPr>
              <w:t>,</w:t>
            </w:r>
            <w:r w:rsidRPr="00685831">
              <w:rPr>
                <w:rFonts w:cs="Arial"/>
                <w:i/>
                <w:iCs/>
                <w:sz w:val="18"/>
                <w:szCs w:val="18"/>
              </w:rPr>
              <w:t xml:space="preserve"> personelle und fachliche Ressourcen) stell</w:t>
            </w:r>
            <w:r>
              <w:rPr>
                <w:rFonts w:cs="Arial"/>
                <w:i/>
                <w:iCs/>
                <w:sz w:val="18"/>
                <w:szCs w:val="18"/>
              </w:rPr>
              <w:t>t</w:t>
            </w:r>
            <w:r w:rsidRPr="00685831">
              <w:rPr>
                <w:rFonts w:cs="Arial"/>
                <w:i/>
                <w:iCs/>
                <w:sz w:val="18"/>
                <w:szCs w:val="18"/>
              </w:rPr>
              <w:t xml:space="preserve"> sicher, dass Verfahren existieren, welche </w:t>
            </w:r>
            <w:r w:rsidR="0068686D">
              <w:rPr>
                <w:rFonts w:cs="Arial"/>
                <w:i/>
                <w:iCs/>
                <w:sz w:val="18"/>
                <w:szCs w:val="18"/>
              </w:rPr>
              <w:t xml:space="preserve">das ordnungsgemässe Meldewesen sicherstellen </w:t>
            </w:r>
            <w:r w:rsidRPr="00685831">
              <w:rPr>
                <w:rFonts w:cs="Arial"/>
                <w:i/>
                <w:iCs/>
                <w:sz w:val="18"/>
                <w:szCs w:val="18"/>
              </w:rPr>
              <w:t xml:space="preserve"> </w:t>
            </w:r>
          </w:p>
          <w:p w14:paraId="42765746" w14:textId="1460EB4A" w:rsidR="0030462C" w:rsidRPr="00387D17" w:rsidRDefault="001D400B" w:rsidP="00C37D08">
            <w:pPr>
              <w:pStyle w:val="Listenabsatz"/>
              <w:numPr>
                <w:ilvl w:val="1"/>
                <w:numId w:val="10"/>
              </w:numPr>
              <w:spacing w:line="259" w:lineRule="auto"/>
              <w:ind w:left="317" w:hanging="283"/>
              <w:jc w:val="both"/>
              <w:rPr>
                <w:i/>
                <w:iCs/>
                <w:sz w:val="18"/>
                <w:szCs w:val="18"/>
              </w:rPr>
            </w:pPr>
            <w:r w:rsidRPr="00594F87">
              <w:rPr>
                <w:i/>
                <w:iCs/>
                <w:sz w:val="18"/>
                <w:szCs w:val="18"/>
              </w:rPr>
              <w:t>Die internen Verfahren sehen klare Verantwortlichkeiten bezüglich de</w:t>
            </w:r>
            <w:r>
              <w:rPr>
                <w:i/>
                <w:iCs/>
                <w:sz w:val="18"/>
                <w:szCs w:val="18"/>
              </w:rPr>
              <w:t>r</w:t>
            </w:r>
            <w:r w:rsidRPr="00594F87">
              <w:rPr>
                <w:i/>
                <w:iCs/>
                <w:sz w:val="18"/>
                <w:szCs w:val="18"/>
              </w:rPr>
              <w:t xml:space="preserve"> Meldungen vor</w:t>
            </w:r>
          </w:p>
        </w:tc>
      </w:tr>
      <w:tr w:rsidR="00406100" w14:paraId="25165E1D"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78EC4136" w14:textId="49A6AF52" w:rsidR="00406100" w:rsidRPr="00B3666B" w:rsidRDefault="006813DD" w:rsidP="00387D17">
            <w:pPr>
              <w:jc w:val="both"/>
              <w:rPr>
                <w:rFonts w:ascii="Arial" w:eastAsia="Arial" w:hAnsi="Arial" w:cs="Arial"/>
                <w:i/>
                <w:iCs/>
                <w:sz w:val="18"/>
                <w:szCs w:val="18"/>
              </w:rPr>
            </w:pPr>
            <w:r w:rsidRPr="00B3666B">
              <w:rPr>
                <w:rFonts w:ascii="Arial" w:eastAsia="Arial" w:hAnsi="Arial" w:cs="Arial"/>
                <w:i/>
                <w:iCs/>
                <w:sz w:val="18"/>
                <w:szCs w:val="18"/>
              </w:rPr>
              <w:t xml:space="preserve">Meldewesen, interne Verfahren und Kontrollen </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0C72DFBA" w14:textId="6159DB87" w:rsidR="00CE31EA" w:rsidRPr="00B3666B" w:rsidRDefault="001D06DF" w:rsidP="00C37D08">
            <w:pPr>
              <w:pStyle w:val="Listenabsatz"/>
              <w:numPr>
                <w:ilvl w:val="1"/>
                <w:numId w:val="10"/>
              </w:numPr>
              <w:spacing w:line="259" w:lineRule="auto"/>
              <w:ind w:left="317" w:hanging="283"/>
              <w:jc w:val="both"/>
              <w:rPr>
                <w:i/>
                <w:iCs/>
                <w:sz w:val="18"/>
                <w:szCs w:val="18"/>
              </w:rPr>
            </w:pPr>
            <w:r w:rsidRPr="00B3666B">
              <w:rPr>
                <w:i/>
                <w:iCs/>
                <w:sz w:val="18"/>
                <w:szCs w:val="18"/>
              </w:rPr>
              <w:t>D</w:t>
            </w:r>
            <w:r w:rsidR="004516E6" w:rsidRPr="00B3666B">
              <w:rPr>
                <w:i/>
                <w:iCs/>
                <w:sz w:val="18"/>
                <w:szCs w:val="18"/>
              </w:rPr>
              <w:t>ie internen Verfahren</w:t>
            </w:r>
            <w:r w:rsidRPr="00B3666B">
              <w:rPr>
                <w:i/>
                <w:iCs/>
                <w:sz w:val="18"/>
                <w:szCs w:val="18"/>
              </w:rPr>
              <w:t xml:space="preserve"> sehen</w:t>
            </w:r>
            <w:r w:rsidR="004516E6" w:rsidRPr="00B3666B">
              <w:rPr>
                <w:i/>
                <w:iCs/>
                <w:sz w:val="18"/>
                <w:szCs w:val="18"/>
              </w:rPr>
              <w:t xml:space="preserve"> eine hohe Datenqualität (u.a. durch ein </w:t>
            </w:r>
            <w:r w:rsidR="00C30F61">
              <w:rPr>
                <w:i/>
                <w:iCs/>
                <w:sz w:val="18"/>
                <w:szCs w:val="18"/>
              </w:rPr>
              <w:t>4</w:t>
            </w:r>
            <w:r w:rsidR="004516E6" w:rsidRPr="00B3666B">
              <w:rPr>
                <w:i/>
                <w:iCs/>
                <w:sz w:val="18"/>
                <w:szCs w:val="18"/>
              </w:rPr>
              <w:t>-Augen-Prinzip beim Erstellungs- und Übermittlungsprozess sowie einer regelmässigen Validierung) und die Aufzeichnung sämtlicher manueller Anpassungen und durchgeführter Kontrollen sicherstellen</w:t>
            </w:r>
          </w:p>
          <w:p w14:paraId="15DF171E" w14:textId="2138CB73" w:rsidR="001D06DF" w:rsidRPr="008C2875" w:rsidRDefault="00CE31EA" w:rsidP="00CE31EA">
            <w:pPr>
              <w:pStyle w:val="Listenabsatz"/>
              <w:numPr>
                <w:ilvl w:val="1"/>
                <w:numId w:val="10"/>
              </w:numPr>
              <w:spacing w:line="259" w:lineRule="auto"/>
              <w:ind w:left="317" w:hanging="283"/>
              <w:jc w:val="both"/>
              <w:rPr>
                <w:i/>
                <w:iCs/>
                <w:sz w:val="18"/>
                <w:szCs w:val="18"/>
              </w:rPr>
            </w:pPr>
            <w:r w:rsidRPr="008C2875">
              <w:rPr>
                <w:i/>
                <w:iCs/>
                <w:sz w:val="18"/>
                <w:szCs w:val="18"/>
              </w:rPr>
              <w:t>Datenqualitätssichernde Kontrollen zur korrekten und vollständigen Meldung sind definiert</w:t>
            </w:r>
          </w:p>
          <w:p w14:paraId="5B27E8AF" w14:textId="18A6E4E4" w:rsidR="00406100" w:rsidRPr="00B3666B" w:rsidRDefault="00406100" w:rsidP="00C37D08">
            <w:pPr>
              <w:pStyle w:val="Listenabsatz"/>
              <w:numPr>
                <w:ilvl w:val="1"/>
                <w:numId w:val="10"/>
              </w:numPr>
              <w:spacing w:line="259" w:lineRule="auto"/>
              <w:ind w:left="317" w:hanging="283"/>
              <w:jc w:val="both"/>
              <w:rPr>
                <w:rFonts w:cs="Arial"/>
                <w:i/>
                <w:sz w:val="18"/>
                <w:szCs w:val="18"/>
              </w:rPr>
            </w:pPr>
            <w:r w:rsidRPr="00B3666B">
              <w:rPr>
                <w:i/>
                <w:iCs/>
                <w:sz w:val="18"/>
                <w:szCs w:val="18"/>
              </w:rPr>
              <w:t>Die internen Verfahren sehen eine im Bedarfsfall höhere Meldefrequenz vor</w:t>
            </w:r>
            <w:r w:rsidR="00921131" w:rsidRPr="00B3666B">
              <w:rPr>
                <w:i/>
                <w:iCs/>
                <w:sz w:val="18"/>
                <w:szCs w:val="18"/>
              </w:rPr>
              <w:t xml:space="preserve">, welche </w:t>
            </w:r>
            <w:r w:rsidR="00D711A9" w:rsidRPr="00B3666B">
              <w:rPr>
                <w:i/>
                <w:iCs/>
                <w:sz w:val="18"/>
                <w:szCs w:val="18"/>
              </w:rPr>
              <w:t>im Abwicklungsfall als angemessen beurteilt werden</w:t>
            </w:r>
            <w:r w:rsidR="00873CB9">
              <w:rPr>
                <w:i/>
                <w:iCs/>
                <w:sz w:val="18"/>
                <w:szCs w:val="18"/>
              </w:rPr>
              <w:t xml:space="preserve"> kann</w:t>
            </w:r>
          </w:p>
        </w:tc>
      </w:tr>
    </w:tbl>
    <w:p w14:paraId="7916405D" w14:textId="77777777" w:rsidR="007A7024" w:rsidRDefault="007A7024" w:rsidP="00B56D96">
      <w:pPr>
        <w:pStyle w:val="FINMAGliederungEbene2"/>
        <w:numPr>
          <w:ilvl w:val="0"/>
          <w:numId w:val="0"/>
        </w:numPr>
        <w:ind w:left="576"/>
      </w:pPr>
    </w:p>
    <w:p w14:paraId="6A8D6C6E" w14:textId="311769CC" w:rsidR="00983BE0" w:rsidRDefault="000060F7" w:rsidP="00C37D08">
      <w:pPr>
        <w:pStyle w:val="FINMAGliederungEbene2"/>
      </w:pPr>
      <w:bookmarkStart w:id="20" w:name="_Toc147141450"/>
      <w:r>
        <w:t>Offenlegung</w:t>
      </w:r>
      <w:bookmarkEnd w:id="20"/>
    </w:p>
    <w:p w14:paraId="4E85A9ED" w14:textId="77777777" w:rsidR="00983BE0" w:rsidRPr="006067FE" w:rsidRDefault="00983BE0" w:rsidP="00983BE0">
      <w:pPr>
        <w:pStyle w:val="FINMAGliederungEbene2"/>
        <w:numPr>
          <w:ilvl w:val="0"/>
          <w:numId w:val="0"/>
        </w:numPr>
        <w:ind w:left="576"/>
      </w:pPr>
    </w:p>
    <w:tbl>
      <w:tblPr>
        <w:tblStyle w:val="Tabellenraster"/>
        <w:tblW w:w="0" w:type="auto"/>
        <w:tblLook w:val="04A0" w:firstRow="1" w:lastRow="0" w:firstColumn="1" w:lastColumn="0" w:noHBand="0" w:noVBand="1"/>
      </w:tblPr>
      <w:tblGrid>
        <w:gridCol w:w="317"/>
        <w:gridCol w:w="1653"/>
        <w:gridCol w:w="2145"/>
        <w:gridCol w:w="1721"/>
        <w:gridCol w:w="680"/>
        <w:gridCol w:w="2702"/>
      </w:tblGrid>
      <w:tr w:rsidR="00983BE0" w:rsidRPr="009872F3" w14:paraId="277B96C0" w14:textId="77777777" w:rsidTr="0049574D">
        <w:trPr>
          <w:trHeight w:val="563"/>
        </w:trPr>
        <w:tc>
          <w:tcPr>
            <w:tcW w:w="1970" w:type="dxa"/>
            <w:gridSpan w:val="2"/>
            <w:shd w:val="clear" w:color="auto" w:fill="DBE5F1" w:themeFill="accent1" w:themeFillTint="33"/>
          </w:tcPr>
          <w:p w14:paraId="78D4CD80" w14:textId="77777777" w:rsidR="00983BE0" w:rsidRPr="009872F3" w:rsidRDefault="00983BE0" w:rsidP="00C747F0">
            <w:pPr>
              <w:jc w:val="both"/>
              <w:rPr>
                <w:rFonts w:ascii="Arial" w:hAnsi="Arial" w:cs="Arial"/>
                <w:sz w:val="18"/>
                <w:szCs w:val="18"/>
              </w:rPr>
            </w:pPr>
            <w:r w:rsidRPr="009872F3">
              <w:rPr>
                <w:rFonts w:ascii="Arial" w:hAnsi="Arial" w:cs="Arial"/>
                <w:sz w:val="18"/>
                <w:szCs w:val="18"/>
              </w:rPr>
              <w:t>Nettorisiko</w:t>
            </w:r>
          </w:p>
        </w:tc>
        <w:tc>
          <w:tcPr>
            <w:tcW w:w="2145" w:type="dxa"/>
            <w:shd w:val="clear" w:color="auto" w:fill="DBE5F1" w:themeFill="accent1" w:themeFillTint="33"/>
          </w:tcPr>
          <w:p w14:paraId="16DC90A1" w14:textId="77777777" w:rsidR="00983BE0" w:rsidRPr="009872F3" w:rsidRDefault="00983BE0" w:rsidP="00C747F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26A51DF9" w14:textId="77777777" w:rsidR="00983BE0" w:rsidRPr="009872F3" w:rsidRDefault="00983BE0" w:rsidP="00C747F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83BE0" w:rsidRPr="009872F3" w14:paraId="112F4FE6" w14:textId="77777777" w:rsidTr="0049574D">
        <w:trPr>
          <w:trHeight w:val="698"/>
        </w:trPr>
        <w:tc>
          <w:tcPr>
            <w:tcW w:w="1970" w:type="dxa"/>
            <w:gridSpan w:val="2"/>
            <w:shd w:val="clear" w:color="auto" w:fill="DBE5F1" w:themeFill="accent1" w:themeFillTint="33"/>
          </w:tcPr>
          <w:p w14:paraId="4B530D8E" w14:textId="77777777" w:rsidR="00983BE0" w:rsidRPr="006749F0" w:rsidRDefault="00983BE0" w:rsidP="00C747F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4C3BD734" w14:textId="77777777" w:rsidR="00983BE0" w:rsidRPr="006749F0" w:rsidRDefault="00983BE0" w:rsidP="00C747F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2EBBBED5" w14:textId="77777777" w:rsidR="00983BE0" w:rsidRPr="009872F3" w:rsidRDefault="00983BE0" w:rsidP="00C747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7394BC28" w14:textId="77777777" w:rsidR="00983BE0" w:rsidRDefault="00983BE0" w:rsidP="00C747F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C032F03" w14:textId="77777777" w:rsidR="00983BE0" w:rsidRPr="006749F0" w:rsidRDefault="00983BE0" w:rsidP="00C747F0">
            <w:pPr>
              <w:jc w:val="both"/>
              <w:rPr>
                <w:rFonts w:ascii="Arial" w:hAnsi="Arial" w:cs="Arial"/>
                <w:i/>
                <w:sz w:val="18"/>
                <w:szCs w:val="18"/>
              </w:rPr>
            </w:pPr>
            <w:r w:rsidRPr="006749F0">
              <w:rPr>
                <w:rFonts w:ascii="Arial" w:hAnsi="Arial" w:cs="Arial"/>
                <w:i/>
                <w:sz w:val="18"/>
                <w:szCs w:val="18"/>
                <w:highlight w:val="yellow"/>
              </w:rPr>
              <w:t>Jahr</w:t>
            </w:r>
          </w:p>
        </w:tc>
      </w:tr>
      <w:tr w:rsidR="00983BE0" w:rsidRPr="009872F3" w14:paraId="49384DE4" w14:textId="77777777" w:rsidTr="0049574D">
        <w:trPr>
          <w:trHeight w:val="294"/>
        </w:trPr>
        <w:tc>
          <w:tcPr>
            <w:tcW w:w="9218" w:type="dxa"/>
            <w:gridSpan w:val="6"/>
            <w:shd w:val="clear" w:color="auto" w:fill="DBE5F1" w:themeFill="accent1" w:themeFillTint="33"/>
          </w:tcPr>
          <w:p w14:paraId="3AAF86D9" w14:textId="77777777" w:rsidR="007D6216" w:rsidRPr="00D32831" w:rsidRDefault="007D6216" w:rsidP="007D6216">
            <w:pPr>
              <w:jc w:val="both"/>
              <w:rPr>
                <w:rFonts w:ascii="Arial" w:hAnsi="Arial" w:cs="Arial"/>
                <w:i/>
                <w:sz w:val="18"/>
                <w:szCs w:val="18"/>
              </w:rPr>
            </w:pPr>
            <w:r w:rsidRPr="00D32831">
              <w:rPr>
                <w:rFonts w:ascii="Arial" w:hAnsi="Arial" w:cs="Arial"/>
                <w:i/>
                <w:sz w:val="18"/>
                <w:szCs w:val="18"/>
              </w:rPr>
              <w:t xml:space="preserve">Referenzen (demonstrativ): </w:t>
            </w:r>
          </w:p>
          <w:p w14:paraId="7AD50A32" w14:textId="0051A989" w:rsidR="007D6216" w:rsidRDefault="007D6216" w:rsidP="00C37D08">
            <w:pPr>
              <w:pStyle w:val="Listenabsatz"/>
              <w:numPr>
                <w:ilvl w:val="0"/>
                <w:numId w:val="9"/>
              </w:numPr>
              <w:ind w:left="308"/>
              <w:jc w:val="both"/>
              <w:rPr>
                <w:rFonts w:cs="Arial"/>
                <w:sz w:val="18"/>
                <w:szCs w:val="18"/>
              </w:rPr>
            </w:pPr>
            <w:r w:rsidRPr="002176A6">
              <w:rPr>
                <w:rFonts w:cs="Arial"/>
                <w:sz w:val="18"/>
                <w:szCs w:val="18"/>
              </w:rPr>
              <w:t xml:space="preserve">Art. </w:t>
            </w:r>
            <w:r w:rsidR="00C52F59" w:rsidRPr="00FD2B7C">
              <w:rPr>
                <w:rFonts w:cs="Arial"/>
                <w:sz w:val="18"/>
                <w:szCs w:val="18"/>
              </w:rPr>
              <w:t>61</w:t>
            </w:r>
            <w:r w:rsidRPr="002176A6">
              <w:rPr>
                <w:rFonts w:cs="Arial"/>
                <w:sz w:val="18"/>
                <w:szCs w:val="18"/>
              </w:rPr>
              <w:t xml:space="preserve"> SAG</w:t>
            </w:r>
          </w:p>
          <w:p w14:paraId="03DCD086" w14:textId="0B19E307" w:rsidR="00983BE0" w:rsidRPr="007120A6" w:rsidRDefault="007D6216">
            <w:pPr>
              <w:pStyle w:val="Listenabsatz"/>
              <w:numPr>
                <w:ilvl w:val="0"/>
                <w:numId w:val="9"/>
              </w:numPr>
              <w:ind w:left="308"/>
              <w:jc w:val="both"/>
              <w:rPr>
                <w:rFonts w:cs="Arial"/>
                <w:sz w:val="18"/>
                <w:szCs w:val="18"/>
              </w:rPr>
            </w:pPr>
            <w:r w:rsidRPr="007D6216">
              <w:rPr>
                <w:rFonts w:cs="Arial"/>
                <w:sz w:val="18"/>
                <w:szCs w:val="18"/>
              </w:rPr>
              <w:t>Durchführungsverordnung (EU) 2021/763 (Meldung und Offenlegung)</w:t>
            </w:r>
          </w:p>
        </w:tc>
      </w:tr>
      <w:tr w:rsidR="00250DF9" w:rsidRPr="009872F3" w14:paraId="3ED0B4E8" w14:textId="77777777" w:rsidTr="0049574D">
        <w:trPr>
          <w:trHeight w:val="294"/>
        </w:trPr>
        <w:tc>
          <w:tcPr>
            <w:tcW w:w="9218" w:type="dxa"/>
            <w:gridSpan w:val="6"/>
            <w:shd w:val="clear" w:color="auto" w:fill="FFFFFF" w:themeFill="background1"/>
          </w:tcPr>
          <w:p w14:paraId="6275086A" w14:textId="77777777" w:rsidR="00250DF9" w:rsidRPr="00D32831" w:rsidRDefault="00250DF9" w:rsidP="007D6216">
            <w:pPr>
              <w:jc w:val="both"/>
              <w:rPr>
                <w:rFonts w:ascii="Arial" w:hAnsi="Arial" w:cs="Arial"/>
                <w:i/>
                <w:sz w:val="18"/>
                <w:szCs w:val="18"/>
              </w:rPr>
            </w:pPr>
          </w:p>
        </w:tc>
      </w:tr>
      <w:tr w:rsidR="002A187E" w:rsidRPr="009872F3" w14:paraId="726D4636" w14:textId="77777777" w:rsidTr="0049574D">
        <w:trPr>
          <w:trHeight w:val="294"/>
        </w:trPr>
        <w:tc>
          <w:tcPr>
            <w:tcW w:w="317" w:type="dxa"/>
            <w:shd w:val="clear" w:color="auto" w:fill="FFFFFF" w:themeFill="background1"/>
          </w:tcPr>
          <w:p w14:paraId="2C043BD8" w14:textId="0661CC13" w:rsidR="002A187E" w:rsidRPr="0049574D" w:rsidRDefault="0049574D" w:rsidP="007D6216">
            <w:pPr>
              <w:jc w:val="both"/>
              <w:rPr>
                <w:rFonts w:ascii="Arial" w:hAnsi="Arial" w:cs="Arial"/>
                <w:sz w:val="18"/>
                <w:szCs w:val="18"/>
              </w:rPr>
            </w:pPr>
            <w:r>
              <w:rPr>
                <w:rFonts w:ascii="Arial" w:hAnsi="Arial" w:cs="Arial"/>
                <w:sz w:val="18"/>
                <w:szCs w:val="18"/>
              </w:rPr>
              <w:t>1</w:t>
            </w:r>
          </w:p>
        </w:tc>
        <w:tc>
          <w:tcPr>
            <w:tcW w:w="6199" w:type="dxa"/>
            <w:gridSpan w:val="4"/>
            <w:shd w:val="clear" w:color="auto" w:fill="FFFFFF" w:themeFill="background1"/>
          </w:tcPr>
          <w:p w14:paraId="39788644" w14:textId="5147D408" w:rsidR="002A187E" w:rsidRPr="0049574D" w:rsidRDefault="0049574D" w:rsidP="007D6216">
            <w:pPr>
              <w:jc w:val="both"/>
              <w:rPr>
                <w:rFonts w:ascii="Arial" w:hAnsi="Arial" w:cs="Arial"/>
                <w:sz w:val="18"/>
                <w:szCs w:val="18"/>
              </w:rPr>
            </w:pPr>
            <w:r>
              <w:rPr>
                <w:rFonts w:ascii="Arial" w:hAnsi="Arial" w:cs="Arial"/>
                <w:sz w:val="18"/>
                <w:szCs w:val="18"/>
              </w:rPr>
              <w:t>Bestätigung, dass die internen Verfahren die korrekte</w:t>
            </w:r>
            <w:r w:rsidR="00C25549">
              <w:rPr>
                <w:rFonts w:ascii="Arial" w:hAnsi="Arial" w:cs="Arial"/>
                <w:sz w:val="18"/>
                <w:szCs w:val="18"/>
              </w:rPr>
              <w:t xml:space="preserve"> und</w:t>
            </w:r>
            <w:r>
              <w:rPr>
                <w:rFonts w:ascii="Arial" w:hAnsi="Arial" w:cs="Arial"/>
                <w:sz w:val="18"/>
                <w:szCs w:val="18"/>
              </w:rPr>
              <w:t xml:space="preserve"> vollständige Offenlegung gemäss</w:t>
            </w:r>
            <w:r w:rsidR="00505DCB">
              <w:rPr>
                <w:rFonts w:ascii="Arial" w:hAnsi="Arial" w:cs="Arial"/>
                <w:sz w:val="18"/>
                <w:szCs w:val="18"/>
              </w:rPr>
              <w:t xml:space="preserve"> Art. 61 SAG </w:t>
            </w:r>
            <w:r w:rsidR="001A4F6D">
              <w:rPr>
                <w:rFonts w:ascii="Arial" w:hAnsi="Arial" w:cs="Arial"/>
                <w:sz w:val="18"/>
                <w:szCs w:val="18"/>
              </w:rPr>
              <w:t xml:space="preserve">und </w:t>
            </w:r>
            <w:r w:rsidR="00884819">
              <w:rPr>
                <w:rFonts w:ascii="Arial" w:hAnsi="Arial" w:cs="Arial"/>
                <w:sz w:val="18"/>
                <w:szCs w:val="18"/>
              </w:rPr>
              <w:t xml:space="preserve">Titel II der </w:t>
            </w:r>
            <w:r w:rsidRPr="0049574D">
              <w:rPr>
                <w:rFonts w:ascii="Arial" w:hAnsi="Arial" w:cs="Arial"/>
                <w:sz w:val="18"/>
                <w:szCs w:val="18"/>
              </w:rPr>
              <w:t xml:space="preserve">Durchführungsverordnung </w:t>
            </w:r>
            <w:r>
              <w:rPr>
                <w:rFonts w:ascii="Arial" w:hAnsi="Arial" w:cs="Arial"/>
                <w:sz w:val="18"/>
                <w:szCs w:val="18"/>
              </w:rPr>
              <w:t xml:space="preserve">(EU) </w:t>
            </w:r>
            <w:r w:rsidRPr="0049574D">
              <w:rPr>
                <w:rFonts w:ascii="Arial" w:hAnsi="Arial" w:cs="Arial"/>
                <w:sz w:val="18"/>
                <w:szCs w:val="18"/>
              </w:rPr>
              <w:t xml:space="preserve">2021/763 </w:t>
            </w:r>
            <w:r>
              <w:rPr>
                <w:rFonts w:ascii="Arial" w:hAnsi="Arial" w:cs="Arial"/>
                <w:sz w:val="18"/>
                <w:szCs w:val="18"/>
              </w:rPr>
              <w:t>sicherstellen.</w:t>
            </w:r>
          </w:p>
        </w:tc>
        <w:tc>
          <w:tcPr>
            <w:tcW w:w="2702" w:type="dxa"/>
            <w:shd w:val="clear" w:color="auto" w:fill="FFFFFF" w:themeFill="background1"/>
          </w:tcPr>
          <w:p w14:paraId="5657693E" w14:textId="636FEB0A" w:rsidR="002A187E" w:rsidRPr="00D32831" w:rsidRDefault="0049574D" w:rsidP="007D621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A97EA48" w14:textId="77777777" w:rsidR="00DD04AA" w:rsidRDefault="00DD04AA" w:rsidP="00983BE0"/>
    <w:tbl>
      <w:tblPr>
        <w:tblStyle w:val="Tabellenraster"/>
        <w:tblW w:w="0" w:type="auto"/>
        <w:tblLayout w:type="fixed"/>
        <w:tblLook w:val="04A0" w:firstRow="1" w:lastRow="0" w:firstColumn="1" w:lastColumn="0" w:noHBand="0" w:noVBand="1"/>
      </w:tblPr>
      <w:tblGrid>
        <w:gridCol w:w="2655"/>
        <w:gridCol w:w="6549"/>
      </w:tblGrid>
      <w:tr w:rsidR="00DD04AA" w14:paraId="745C45A0" w14:textId="77777777" w:rsidTr="0096765A">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078424C0" w14:textId="77777777" w:rsidR="00DD04AA" w:rsidRDefault="00DD04AA">
            <w:pPr>
              <w:jc w:val="both"/>
              <w:rPr>
                <w:rFonts w:ascii="Arial" w:eastAsia="Arial" w:hAnsi="Arial" w:cs="Arial"/>
                <w:b/>
                <w:bCs/>
                <w:i/>
                <w:iCs/>
                <w:sz w:val="18"/>
                <w:szCs w:val="18"/>
              </w:rPr>
            </w:pPr>
            <w:r w:rsidRPr="2A346EFB">
              <w:rPr>
                <w:rFonts w:ascii="Arial" w:eastAsia="Arial" w:hAnsi="Arial" w:cs="Arial"/>
                <w:b/>
                <w:bCs/>
                <w:i/>
                <w:iCs/>
                <w:sz w:val="18"/>
                <w:szCs w:val="18"/>
              </w:rPr>
              <w:t>Prüfelemente</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73829A09" w14:textId="77777777" w:rsidR="00DD04AA" w:rsidRDefault="00DD04AA">
            <w:pPr>
              <w:jc w:val="both"/>
              <w:rPr>
                <w:rFonts w:ascii="Arial" w:eastAsia="Arial" w:hAnsi="Arial" w:cs="Arial"/>
                <w:b/>
                <w:bCs/>
                <w:i/>
                <w:iCs/>
                <w:sz w:val="18"/>
                <w:szCs w:val="18"/>
              </w:rPr>
            </w:pPr>
            <w:r w:rsidRPr="2A346EFB">
              <w:rPr>
                <w:rFonts w:ascii="Arial" w:eastAsia="Arial" w:hAnsi="Arial" w:cs="Arial"/>
                <w:b/>
                <w:bCs/>
                <w:i/>
                <w:iCs/>
                <w:sz w:val="18"/>
                <w:szCs w:val="18"/>
              </w:rPr>
              <w:t>Mindestprüfinhalte («Muster»)</w:t>
            </w:r>
          </w:p>
        </w:tc>
      </w:tr>
      <w:tr w:rsidR="00DD04AA" w14:paraId="323CB6CC" w14:textId="77777777" w:rsidTr="0096765A">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12E7FCCB" w14:textId="77777777" w:rsidR="00DD04AA" w:rsidRDefault="00DD04AA">
            <w:pPr>
              <w:jc w:val="both"/>
              <w:rPr>
                <w:rFonts w:ascii="Arial" w:eastAsia="Arial" w:hAnsi="Arial" w:cs="Arial"/>
                <w:i/>
                <w:iCs/>
                <w:sz w:val="18"/>
                <w:szCs w:val="18"/>
              </w:rPr>
            </w:pPr>
            <w:r w:rsidRPr="2A346EFB">
              <w:rPr>
                <w:rFonts w:ascii="Arial" w:eastAsia="Arial" w:hAnsi="Arial" w:cs="Arial"/>
                <w:i/>
                <w:iCs/>
                <w:sz w:val="18"/>
                <w:szCs w:val="18"/>
              </w:rPr>
              <w:t xml:space="preserve">Interne Organisation </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68D9C059" w14:textId="77777777" w:rsidR="00DD04AA" w:rsidRPr="00D674EC" w:rsidRDefault="00DD04AA">
            <w:pPr>
              <w:pStyle w:val="Listenabsatz"/>
              <w:numPr>
                <w:ilvl w:val="1"/>
                <w:numId w:val="12"/>
              </w:numPr>
              <w:spacing w:line="259" w:lineRule="auto"/>
              <w:ind w:left="317" w:hanging="283"/>
              <w:jc w:val="both"/>
              <w:rPr>
                <w:rFonts w:cs="Arial"/>
                <w:i/>
                <w:sz w:val="18"/>
                <w:szCs w:val="18"/>
              </w:rPr>
            </w:pPr>
            <w:r w:rsidRPr="00D674EC">
              <w:rPr>
                <w:rFonts w:cs="Arial"/>
                <w:i/>
                <w:sz w:val="18"/>
                <w:szCs w:val="18"/>
              </w:rPr>
              <w:t xml:space="preserve">Die interne Organisationsstruktur (z.B. Weisungswesen, technische, personelle und fachliche Ressourcen) stellt sicher, dass Verfahren existieren, welche die </w:t>
            </w:r>
            <w:r>
              <w:rPr>
                <w:rFonts w:cs="Arial"/>
                <w:i/>
                <w:sz w:val="18"/>
                <w:szCs w:val="18"/>
              </w:rPr>
              <w:t xml:space="preserve">ordnungsgemässe </w:t>
            </w:r>
            <w:r w:rsidRPr="00D674EC">
              <w:rPr>
                <w:rFonts w:cs="Arial"/>
                <w:i/>
                <w:sz w:val="18"/>
                <w:szCs w:val="18"/>
              </w:rPr>
              <w:t xml:space="preserve">Offenlegung sicherstellen  </w:t>
            </w:r>
          </w:p>
          <w:p w14:paraId="04B516EA" w14:textId="77777777" w:rsidR="00DD04AA" w:rsidRPr="00D674EC" w:rsidRDefault="00DD04AA">
            <w:pPr>
              <w:pStyle w:val="Listenabsatz"/>
              <w:numPr>
                <w:ilvl w:val="1"/>
                <w:numId w:val="12"/>
              </w:numPr>
              <w:spacing w:line="259" w:lineRule="auto"/>
              <w:ind w:left="317" w:hanging="283"/>
              <w:jc w:val="both"/>
              <w:rPr>
                <w:rFonts w:cs="Arial"/>
                <w:i/>
                <w:sz w:val="18"/>
                <w:szCs w:val="18"/>
              </w:rPr>
            </w:pPr>
            <w:r w:rsidRPr="00D674EC">
              <w:rPr>
                <w:rFonts w:cs="Arial"/>
                <w:i/>
                <w:sz w:val="18"/>
                <w:szCs w:val="18"/>
              </w:rPr>
              <w:t xml:space="preserve">Die internen Verfahren </w:t>
            </w:r>
            <w:r>
              <w:rPr>
                <w:rFonts w:cs="Arial"/>
                <w:i/>
                <w:sz w:val="18"/>
                <w:szCs w:val="18"/>
              </w:rPr>
              <w:t>definieren</w:t>
            </w:r>
            <w:r w:rsidRPr="00D674EC">
              <w:rPr>
                <w:rFonts w:cs="Arial"/>
                <w:i/>
                <w:sz w:val="18"/>
                <w:szCs w:val="18"/>
              </w:rPr>
              <w:t xml:space="preserve"> klare Verantwortlichkeiten bezüglich der Offenlegung </w:t>
            </w:r>
          </w:p>
        </w:tc>
      </w:tr>
      <w:tr w:rsidR="00DD04AA" w14:paraId="39ABBC5F" w14:textId="77777777" w:rsidTr="0096765A">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5E3D74E4" w14:textId="77777777" w:rsidR="00DD04AA" w:rsidRDefault="00DD04AA">
            <w:pPr>
              <w:jc w:val="both"/>
              <w:rPr>
                <w:rFonts w:ascii="Arial" w:eastAsia="Arial" w:hAnsi="Arial" w:cs="Arial"/>
                <w:i/>
                <w:iCs/>
                <w:sz w:val="18"/>
                <w:szCs w:val="18"/>
              </w:rPr>
            </w:pPr>
            <w:r w:rsidRPr="2A346EFB">
              <w:rPr>
                <w:rFonts w:ascii="Arial" w:eastAsia="Arial" w:hAnsi="Arial" w:cs="Arial"/>
                <w:i/>
                <w:iCs/>
                <w:sz w:val="18"/>
                <w:szCs w:val="18"/>
              </w:rPr>
              <w:t>Internes Kontrollsystem, Prozesse und Berichterstattung</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76BA4549" w14:textId="23821791" w:rsidR="00DD04AA" w:rsidRPr="00D674EC" w:rsidRDefault="00DD04AA">
            <w:pPr>
              <w:pStyle w:val="Listenabsatz"/>
              <w:numPr>
                <w:ilvl w:val="1"/>
                <w:numId w:val="12"/>
              </w:numPr>
              <w:spacing w:line="259" w:lineRule="auto"/>
              <w:ind w:left="317" w:hanging="283"/>
              <w:jc w:val="both"/>
              <w:rPr>
                <w:rFonts w:cs="Arial"/>
                <w:i/>
                <w:sz w:val="18"/>
                <w:szCs w:val="18"/>
              </w:rPr>
            </w:pPr>
            <w:r w:rsidRPr="00D674EC">
              <w:rPr>
                <w:rFonts w:cs="Arial"/>
                <w:i/>
                <w:sz w:val="18"/>
                <w:szCs w:val="18"/>
              </w:rPr>
              <w:t xml:space="preserve">Die internen Verfahren sehen angemessene </w:t>
            </w:r>
            <w:r w:rsidR="008849B4">
              <w:rPr>
                <w:rFonts w:cs="Arial"/>
                <w:i/>
                <w:sz w:val="18"/>
                <w:szCs w:val="18"/>
              </w:rPr>
              <w:t>d</w:t>
            </w:r>
            <w:r>
              <w:rPr>
                <w:rFonts w:cs="Arial"/>
                <w:i/>
                <w:sz w:val="18"/>
                <w:szCs w:val="18"/>
              </w:rPr>
              <w:t>atenqualität</w:t>
            </w:r>
            <w:r w:rsidR="00363241">
              <w:rPr>
                <w:rFonts w:cs="Arial"/>
                <w:i/>
                <w:sz w:val="18"/>
                <w:szCs w:val="18"/>
              </w:rPr>
              <w:t>s</w:t>
            </w:r>
            <w:r>
              <w:rPr>
                <w:rFonts w:cs="Arial"/>
                <w:i/>
                <w:sz w:val="18"/>
                <w:szCs w:val="18"/>
              </w:rPr>
              <w:t>sichernde</w:t>
            </w:r>
            <w:r w:rsidRPr="00D674EC">
              <w:rPr>
                <w:rFonts w:cs="Arial"/>
                <w:i/>
                <w:sz w:val="18"/>
                <w:szCs w:val="18"/>
              </w:rPr>
              <w:t xml:space="preserve"> Kontrollen zur korrekten und vollständigen Offenlegung vor</w:t>
            </w:r>
          </w:p>
          <w:p w14:paraId="63010863" w14:textId="77777777" w:rsidR="00DD04AA" w:rsidRPr="0086745F" w:rsidRDefault="00DD04AA">
            <w:pPr>
              <w:pStyle w:val="Listenabsatz"/>
              <w:numPr>
                <w:ilvl w:val="1"/>
                <w:numId w:val="12"/>
              </w:numPr>
              <w:spacing w:line="259" w:lineRule="auto"/>
              <w:ind w:left="317" w:hanging="283"/>
              <w:jc w:val="both"/>
              <w:rPr>
                <w:i/>
                <w:sz w:val="18"/>
                <w:szCs w:val="18"/>
              </w:rPr>
            </w:pPr>
            <w:r w:rsidRPr="0086745F">
              <w:rPr>
                <w:i/>
                <w:iCs/>
                <w:sz w:val="18"/>
                <w:szCs w:val="18"/>
              </w:rPr>
              <w:t xml:space="preserve">Die internen Verfahren sehen die Anwendung des 4-Augen-Prinzips </w:t>
            </w:r>
            <w:r>
              <w:rPr>
                <w:i/>
                <w:iCs/>
                <w:sz w:val="18"/>
                <w:szCs w:val="18"/>
              </w:rPr>
              <w:t>bzw.</w:t>
            </w:r>
            <w:r w:rsidRPr="0086745F">
              <w:rPr>
                <w:i/>
                <w:iCs/>
                <w:sz w:val="18"/>
                <w:szCs w:val="18"/>
              </w:rPr>
              <w:t xml:space="preserve"> Funktionstrennung bei Schlüsselkontrollen vor</w:t>
            </w:r>
          </w:p>
        </w:tc>
      </w:tr>
    </w:tbl>
    <w:p w14:paraId="2210B3CB" w14:textId="0C792418" w:rsidR="00D71278" w:rsidRDefault="00983BE0">
      <w:pPr>
        <w:rPr>
          <w:rFonts w:ascii="Arial" w:hAnsi="Arial" w:cs="Arial"/>
          <w:sz w:val="20"/>
          <w:szCs w:val="20"/>
        </w:rPr>
      </w:pPr>
      <w:r>
        <w:br/>
      </w:r>
      <w:r w:rsidR="00D71278">
        <w:rPr>
          <w:rFonts w:ascii="Arial" w:hAnsi="Arial" w:cs="Arial"/>
          <w:sz w:val="20"/>
          <w:szCs w:val="20"/>
        </w:rPr>
        <w:br w:type="page"/>
      </w:r>
    </w:p>
    <w:p w14:paraId="05B1F918" w14:textId="7B9440ED" w:rsidR="00821D76" w:rsidRDefault="00641A82" w:rsidP="00C37D08">
      <w:pPr>
        <w:pStyle w:val="FINMAGliederungEbene1"/>
      </w:pPr>
      <w:bookmarkStart w:id="21" w:name="_Toc140849820"/>
      <w:bookmarkStart w:id="22" w:name="_Toc141095439"/>
      <w:bookmarkStart w:id="23" w:name="_Toc141284977"/>
      <w:bookmarkStart w:id="24" w:name="_Toc140849821"/>
      <w:bookmarkStart w:id="25" w:name="_Toc141095440"/>
      <w:bookmarkStart w:id="26" w:name="_Toc141284978"/>
      <w:bookmarkStart w:id="27" w:name="_Toc147141451"/>
      <w:bookmarkEnd w:id="21"/>
      <w:bookmarkEnd w:id="22"/>
      <w:bookmarkEnd w:id="23"/>
      <w:bookmarkEnd w:id="24"/>
      <w:bookmarkEnd w:id="25"/>
      <w:bookmarkEnd w:id="26"/>
      <w:r>
        <w:lastRenderedPageBreak/>
        <w:t>Besonderer</w:t>
      </w:r>
      <w:r w:rsidR="00821D76">
        <w:t xml:space="preserve"> Teil</w:t>
      </w:r>
      <w:bookmarkEnd w:id="27"/>
    </w:p>
    <w:p w14:paraId="17ADBC1A" w14:textId="77777777" w:rsidR="00821D76" w:rsidRPr="0012542F" w:rsidRDefault="00821D76" w:rsidP="00821D76">
      <w:pPr>
        <w:rPr>
          <w:rFonts w:ascii="Arial" w:hAnsi="Arial" w:cs="Arial"/>
          <w:sz w:val="20"/>
          <w:szCs w:val="22"/>
        </w:rPr>
      </w:pPr>
    </w:p>
    <w:p w14:paraId="462F634D" w14:textId="1BA6B5FF" w:rsidR="006E2516" w:rsidRDefault="00297DFB" w:rsidP="00C37D08">
      <w:pPr>
        <w:pStyle w:val="FINMAGliederungEbene2"/>
      </w:pPr>
      <w:bookmarkStart w:id="28" w:name="_Toc147141452"/>
      <w:r>
        <w:t>Durchführ</w:t>
      </w:r>
      <w:r w:rsidR="00B15582">
        <w:t>barkeit</w:t>
      </w:r>
      <w:r>
        <w:t xml:space="preserve"> des Abwicklungsplans</w:t>
      </w:r>
      <w:bookmarkEnd w:id="28"/>
    </w:p>
    <w:p w14:paraId="5B5ACCF1" w14:textId="77777777" w:rsidR="00D27087" w:rsidRPr="006067FE" w:rsidRDefault="00D27087" w:rsidP="00D27087">
      <w:pPr>
        <w:jc w:val="both"/>
      </w:pPr>
    </w:p>
    <w:tbl>
      <w:tblPr>
        <w:tblStyle w:val="Tabellenraster"/>
        <w:tblpPr w:leftFromText="141" w:rightFromText="141" w:vertAnchor="text" w:tblpY="1"/>
        <w:tblOverlap w:val="never"/>
        <w:tblW w:w="0" w:type="auto"/>
        <w:tblLook w:val="04A0" w:firstRow="1" w:lastRow="0" w:firstColumn="1" w:lastColumn="0" w:noHBand="0" w:noVBand="1"/>
      </w:tblPr>
      <w:tblGrid>
        <w:gridCol w:w="317"/>
        <w:gridCol w:w="1658"/>
        <w:gridCol w:w="2024"/>
        <w:gridCol w:w="2410"/>
        <w:gridCol w:w="3105"/>
      </w:tblGrid>
      <w:tr w:rsidR="00D27087" w:rsidRPr="009872F3" w14:paraId="0696A6C0" w14:textId="77777777" w:rsidTr="0096765A">
        <w:trPr>
          <w:trHeight w:val="563"/>
        </w:trPr>
        <w:tc>
          <w:tcPr>
            <w:tcW w:w="1975" w:type="dxa"/>
            <w:gridSpan w:val="2"/>
            <w:shd w:val="clear" w:color="auto" w:fill="DBE5F1" w:themeFill="accent1" w:themeFillTint="33"/>
          </w:tcPr>
          <w:p w14:paraId="457528E5" w14:textId="77777777" w:rsidR="00D27087" w:rsidRPr="009872F3" w:rsidRDefault="00D27087" w:rsidP="00D204EB">
            <w:pPr>
              <w:jc w:val="both"/>
              <w:rPr>
                <w:rFonts w:ascii="Arial" w:hAnsi="Arial" w:cs="Arial"/>
                <w:sz w:val="18"/>
                <w:szCs w:val="18"/>
              </w:rPr>
            </w:pPr>
            <w:r w:rsidRPr="009872F3">
              <w:rPr>
                <w:rFonts w:ascii="Arial" w:hAnsi="Arial" w:cs="Arial"/>
                <w:sz w:val="18"/>
                <w:szCs w:val="18"/>
              </w:rPr>
              <w:t>Nettorisiko</w:t>
            </w:r>
          </w:p>
        </w:tc>
        <w:tc>
          <w:tcPr>
            <w:tcW w:w="2024" w:type="dxa"/>
            <w:shd w:val="clear" w:color="auto" w:fill="DBE5F1" w:themeFill="accent1" w:themeFillTint="33"/>
          </w:tcPr>
          <w:p w14:paraId="3AAEAFE2" w14:textId="77777777" w:rsidR="00D27087" w:rsidRPr="009872F3" w:rsidRDefault="00D27087" w:rsidP="00D204EB">
            <w:pPr>
              <w:jc w:val="both"/>
              <w:rPr>
                <w:rFonts w:ascii="Arial" w:hAnsi="Arial" w:cs="Arial"/>
                <w:sz w:val="18"/>
                <w:szCs w:val="18"/>
              </w:rPr>
            </w:pPr>
            <w:r w:rsidRPr="009872F3">
              <w:rPr>
                <w:rFonts w:ascii="Arial" w:hAnsi="Arial" w:cs="Arial"/>
                <w:sz w:val="18"/>
                <w:szCs w:val="18"/>
              </w:rPr>
              <w:t>Intervention Berichtsjahr:</w:t>
            </w:r>
          </w:p>
        </w:tc>
        <w:tc>
          <w:tcPr>
            <w:tcW w:w="5515" w:type="dxa"/>
            <w:gridSpan w:val="2"/>
            <w:shd w:val="clear" w:color="auto" w:fill="DBE5F1" w:themeFill="accent1" w:themeFillTint="33"/>
          </w:tcPr>
          <w:p w14:paraId="5A9E5102" w14:textId="77777777" w:rsidR="00D27087" w:rsidRPr="009872F3" w:rsidRDefault="00D27087" w:rsidP="00D204E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27087" w:rsidRPr="009872F3" w14:paraId="738268F2" w14:textId="77777777" w:rsidTr="0096765A">
        <w:trPr>
          <w:trHeight w:val="698"/>
        </w:trPr>
        <w:tc>
          <w:tcPr>
            <w:tcW w:w="1975" w:type="dxa"/>
            <w:gridSpan w:val="2"/>
            <w:shd w:val="clear" w:color="auto" w:fill="DBE5F1" w:themeFill="accent1" w:themeFillTint="33"/>
          </w:tcPr>
          <w:p w14:paraId="5C87D23D" w14:textId="77777777" w:rsidR="00D27087" w:rsidRPr="006749F0" w:rsidRDefault="00D27087" w:rsidP="00D204E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024" w:type="dxa"/>
            <w:shd w:val="clear" w:color="auto" w:fill="DBE5F1" w:themeFill="accent1" w:themeFillTint="33"/>
          </w:tcPr>
          <w:p w14:paraId="61995ABB" w14:textId="77777777" w:rsidR="00D27087" w:rsidRPr="006749F0" w:rsidRDefault="00D27087" w:rsidP="00D204E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2410" w:type="dxa"/>
            <w:shd w:val="clear" w:color="auto" w:fill="DBE5F1" w:themeFill="accent1" w:themeFillTint="33"/>
          </w:tcPr>
          <w:p w14:paraId="533A9957" w14:textId="77777777" w:rsidR="00D27087" w:rsidRPr="009872F3" w:rsidRDefault="00D27087" w:rsidP="00D204E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105" w:type="dxa"/>
            <w:shd w:val="clear" w:color="auto" w:fill="DBE5F1" w:themeFill="accent1" w:themeFillTint="33"/>
          </w:tcPr>
          <w:p w14:paraId="0A197D8B" w14:textId="77777777" w:rsidR="00D27087" w:rsidRDefault="00D27087" w:rsidP="00D204E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F1F64C" w14:textId="77777777" w:rsidR="00D27087" w:rsidRPr="006749F0" w:rsidRDefault="00D27087" w:rsidP="00D204EB">
            <w:pPr>
              <w:jc w:val="both"/>
              <w:rPr>
                <w:rFonts w:ascii="Arial" w:hAnsi="Arial" w:cs="Arial"/>
                <w:i/>
                <w:sz w:val="18"/>
                <w:szCs w:val="18"/>
              </w:rPr>
            </w:pPr>
            <w:r w:rsidRPr="006749F0">
              <w:rPr>
                <w:rFonts w:ascii="Arial" w:hAnsi="Arial" w:cs="Arial"/>
                <w:i/>
                <w:sz w:val="18"/>
                <w:szCs w:val="18"/>
                <w:highlight w:val="yellow"/>
              </w:rPr>
              <w:t>Jahr</w:t>
            </w:r>
          </w:p>
        </w:tc>
      </w:tr>
      <w:tr w:rsidR="00D27087" w:rsidRPr="009872F3" w14:paraId="0A0AAFB1" w14:textId="77777777" w:rsidTr="0096765A">
        <w:trPr>
          <w:trHeight w:val="636"/>
        </w:trPr>
        <w:tc>
          <w:tcPr>
            <w:tcW w:w="9514" w:type="dxa"/>
            <w:gridSpan w:val="5"/>
            <w:shd w:val="clear" w:color="auto" w:fill="DBE5F1" w:themeFill="accent1" w:themeFillTint="33"/>
          </w:tcPr>
          <w:p w14:paraId="35EFAA23" w14:textId="77777777" w:rsidR="0023476A" w:rsidRDefault="00290050" w:rsidP="000B44E4">
            <w:pPr>
              <w:rPr>
                <w:rFonts w:ascii="Arial" w:hAnsi="Arial" w:cs="Arial"/>
                <w:i/>
                <w:sz w:val="18"/>
                <w:szCs w:val="18"/>
              </w:rPr>
            </w:pPr>
            <w:r w:rsidRPr="00997881">
              <w:rPr>
                <w:rFonts w:ascii="Arial" w:hAnsi="Arial" w:cs="Arial"/>
                <w:i/>
                <w:sz w:val="18"/>
                <w:szCs w:val="18"/>
              </w:rPr>
              <w:t>Referenzen (demonstrativ):</w:t>
            </w:r>
          </w:p>
          <w:p w14:paraId="387CA740" w14:textId="0CF88AC0" w:rsidR="00763485" w:rsidRDefault="00763485" w:rsidP="0023476A">
            <w:pPr>
              <w:pStyle w:val="Listenabsatz"/>
              <w:numPr>
                <w:ilvl w:val="0"/>
                <w:numId w:val="9"/>
              </w:numPr>
              <w:ind w:left="308"/>
              <w:jc w:val="both"/>
              <w:rPr>
                <w:rFonts w:cs="Arial"/>
                <w:sz w:val="18"/>
                <w:szCs w:val="18"/>
              </w:rPr>
            </w:pPr>
            <w:r w:rsidRPr="003B55BC">
              <w:rPr>
                <w:rFonts w:cs="Arial"/>
                <w:sz w:val="18"/>
                <w:szCs w:val="18"/>
              </w:rPr>
              <w:t>Delegierte Verordnung (EU) 2016/1712 zur Spezifizierung einer Mindestauswahl der in die detaillierten Aufzeichnungen aufzunehmenden Angaben zu Finanzkontrakten und der Umstände, unter denen die Anforderung aufzuerlegen ist</w:t>
            </w:r>
            <w:r>
              <w:rPr>
                <w:rFonts w:cs="Arial"/>
                <w:sz w:val="18"/>
                <w:szCs w:val="18"/>
              </w:rPr>
              <w:t xml:space="preserve"> (Angaben zu </w:t>
            </w:r>
            <w:r w:rsidRPr="003B55BC">
              <w:rPr>
                <w:rFonts w:cs="Arial"/>
                <w:sz w:val="18"/>
                <w:szCs w:val="18"/>
              </w:rPr>
              <w:t>Finanzkontrakten</w:t>
            </w:r>
            <w:r>
              <w:rPr>
                <w:rFonts w:cs="Arial"/>
                <w:sz w:val="18"/>
                <w:szCs w:val="18"/>
              </w:rPr>
              <w:t>)</w:t>
            </w:r>
          </w:p>
          <w:p w14:paraId="74B353DD" w14:textId="2D7A23FF" w:rsidR="00997881" w:rsidRPr="00997881" w:rsidRDefault="00997881" w:rsidP="00C37D08">
            <w:pPr>
              <w:pStyle w:val="Listenabsatz"/>
              <w:numPr>
                <w:ilvl w:val="0"/>
                <w:numId w:val="9"/>
              </w:numPr>
              <w:ind w:left="308"/>
              <w:jc w:val="both"/>
              <w:rPr>
                <w:rFonts w:cs="Arial"/>
                <w:sz w:val="18"/>
                <w:szCs w:val="18"/>
              </w:rPr>
            </w:pPr>
            <w:r w:rsidRPr="00997881">
              <w:rPr>
                <w:rFonts w:cs="Arial"/>
                <w:sz w:val="18"/>
                <w:szCs w:val="18"/>
              </w:rPr>
              <w:t>EBA Leitlinien zur Verbesserung der Abwicklungsfähigkeit für Institute und Abwicklungsbehörden</w:t>
            </w:r>
          </w:p>
          <w:p w14:paraId="1CFB9E40" w14:textId="77777777" w:rsidR="00997881" w:rsidRDefault="00997881" w:rsidP="00543B51">
            <w:pPr>
              <w:pStyle w:val="Listenabsatz"/>
              <w:ind w:left="308"/>
              <w:jc w:val="both"/>
              <w:rPr>
                <w:rFonts w:cs="Arial"/>
                <w:sz w:val="18"/>
                <w:szCs w:val="18"/>
              </w:rPr>
            </w:pPr>
            <w:r w:rsidRPr="00997881">
              <w:rPr>
                <w:rFonts w:cs="Arial"/>
                <w:sz w:val="18"/>
                <w:szCs w:val="18"/>
              </w:rPr>
              <w:t>(Resolvability Guidelines; EBA/GL/2022/01)</w:t>
            </w:r>
          </w:p>
          <w:p w14:paraId="6F50CE63" w14:textId="65BA428A" w:rsidR="00847D70" w:rsidRPr="00847D70" w:rsidRDefault="00847D70" w:rsidP="0096765A">
            <w:pPr>
              <w:pStyle w:val="Listenabsatz"/>
              <w:numPr>
                <w:ilvl w:val="0"/>
                <w:numId w:val="9"/>
              </w:numPr>
              <w:ind w:left="308"/>
              <w:jc w:val="both"/>
              <w:rPr>
                <w:rFonts w:cs="Arial"/>
                <w:sz w:val="18"/>
                <w:szCs w:val="18"/>
              </w:rPr>
            </w:pPr>
            <w:r w:rsidRPr="00997881">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D27087" w:rsidRPr="009872F3" w14:paraId="2359AA3D" w14:textId="77777777" w:rsidTr="0096765A">
        <w:trPr>
          <w:trHeight w:val="294"/>
        </w:trPr>
        <w:tc>
          <w:tcPr>
            <w:tcW w:w="9514" w:type="dxa"/>
            <w:gridSpan w:val="5"/>
          </w:tcPr>
          <w:p w14:paraId="5702D95D" w14:textId="77777777" w:rsidR="00D27087" w:rsidRPr="009872F3" w:rsidRDefault="00D27087" w:rsidP="00D204EB">
            <w:pPr>
              <w:jc w:val="both"/>
              <w:rPr>
                <w:rFonts w:ascii="Arial" w:hAnsi="Arial" w:cs="Arial"/>
                <w:sz w:val="18"/>
                <w:szCs w:val="18"/>
              </w:rPr>
            </w:pPr>
          </w:p>
        </w:tc>
      </w:tr>
      <w:tr w:rsidR="00143E86" w:rsidRPr="009872F3" w14:paraId="6931879A" w14:textId="77777777" w:rsidTr="0096765A">
        <w:trPr>
          <w:trHeight w:val="294"/>
        </w:trPr>
        <w:tc>
          <w:tcPr>
            <w:tcW w:w="317" w:type="dxa"/>
          </w:tcPr>
          <w:p w14:paraId="5E83D336" w14:textId="777D78A3" w:rsidR="00143E86" w:rsidRPr="009872F3" w:rsidRDefault="00143E86" w:rsidP="00D204EB">
            <w:pPr>
              <w:jc w:val="both"/>
              <w:rPr>
                <w:rFonts w:ascii="Arial" w:hAnsi="Arial" w:cs="Arial"/>
                <w:sz w:val="18"/>
                <w:szCs w:val="18"/>
              </w:rPr>
            </w:pPr>
            <w:r>
              <w:rPr>
                <w:rFonts w:ascii="Arial" w:hAnsi="Arial" w:cs="Arial"/>
                <w:sz w:val="18"/>
                <w:szCs w:val="18"/>
              </w:rPr>
              <w:t>1</w:t>
            </w:r>
          </w:p>
        </w:tc>
        <w:tc>
          <w:tcPr>
            <w:tcW w:w="6092" w:type="dxa"/>
            <w:gridSpan w:val="3"/>
          </w:tcPr>
          <w:p w14:paraId="024AB143" w14:textId="06FE8EB2" w:rsidR="00143E86" w:rsidRPr="009872F3" w:rsidRDefault="00143E86" w:rsidP="00D204EB">
            <w:pPr>
              <w:jc w:val="both"/>
              <w:rPr>
                <w:rFonts w:ascii="Arial" w:hAnsi="Arial" w:cs="Arial"/>
                <w:sz w:val="18"/>
                <w:szCs w:val="18"/>
              </w:rPr>
            </w:pPr>
            <w:r>
              <w:rPr>
                <w:rFonts w:ascii="Arial" w:hAnsi="Arial" w:cs="Arial"/>
                <w:sz w:val="18"/>
                <w:szCs w:val="18"/>
              </w:rPr>
              <w:t xml:space="preserve">Bestätigung, dass die internen Verfahren robuste Governance-Mechanismen vorsehen, welche die Vorbereitung und die Umsetzung der Abwicklungsstrategie </w:t>
            </w:r>
            <w:r w:rsidR="006D61F7">
              <w:rPr>
                <w:rFonts w:ascii="Arial" w:hAnsi="Arial" w:cs="Arial"/>
                <w:sz w:val="18"/>
                <w:szCs w:val="18"/>
              </w:rPr>
              <w:t xml:space="preserve">im Bedarfsfall </w:t>
            </w:r>
            <w:r>
              <w:rPr>
                <w:rFonts w:ascii="Arial" w:hAnsi="Arial" w:cs="Arial"/>
                <w:sz w:val="18"/>
                <w:szCs w:val="18"/>
              </w:rPr>
              <w:t>unterstützen</w:t>
            </w:r>
            <w:r w:rsidR="00A310C7" w:rsidRPr="00284F01">
              <w:rPr>
                <w:rFonts w:ascii="Arial" w:hAnsi="Arial" w:cs="Arial"/>
                <w:sz w:val="18"/>
                <w:szCs w:val="18"/>
              </w:rPr>
              <w:t xml:space="preserve"> und </w:t>
            </w:r>
            <w:r w:rsidR="001C289C" w:rsidRPr="00284F01">
              <w:rPr>
                <w:rFonts w:ascii="Arial" w:hAnsi="Arial" w:cs="Arial"/>
                <w:sz w:val="18"/>
                <w:szCs w:val="18"/>
              </w:rPr>
              <w:t>dass</w:t>
            </w:r>
            <w:r w:rsidR="00300B1A" w:rsidRPr="00284F01">
              <w:rPr>
                <w:rFonts w:ascii="Arial" w:hAnsi="Arial" w:cs="Arial"/>
                <w:sz w:val="18"/>
                <w:szCs w:val="18"/>
              </w:rPr>
              <w:t xml:space="preserve"> ihre </w:t>
            </w:r>
            <w:r w:rsidR="005B2696" w:rsidRPr="00284F01">
              <w:rPr>
                <w:rFonts w:ascii="Arial" w:hAnsi="Arial" w:cs="Arial"/>
                <w:sz w:val="18"/>
                <w:szCs w:val="18"/>
              </w:rPr>
              <w:t xml:space="preserve">Durchführung </w:t>
            </w:r>
            <w:r w:rsidR="00DE10B0" w:rsidRPr="00284F01">
              <w:rPr>
                <w:rFonts w:ascii="Arial" w:hAnsi="Arial" w:cs="Arial"/>
                <w:sz w:val="18"/>
                <w:szCs w:val="18"/>
              </w:rPr>
              <w:t xml:space="preserve">angemessen in Handbüchern </w:t>
            </w:r>
            <w:r w:rsidR="005B2696" w:rsidRPr="00284F01">
              <w:rPr>
                <w:rFonts w:ascii="Arial" w:hAnsi="Arial" w:cs="Arial"/>
                <w:sz w:val="18"/>
                <w:szCs w:val="18"/>
              </w:rPr>
              <w:t>und Reglemente</w:t>
            </w:r>
            <w:r w:rsidR="008719B6" w:rsidRPr="00284F01">
              <w:rPr>
                <w:rFonts w:ascii="Arial" w:hAnsi="Arial" w:cs="Arial"/>
                <w:sz w:val="18"/>
                <w:szCs w:val="18"/>
              </w:rPr>
              <w:t>n</w:t>
            </w:r>
            <w:r w:rsidR="005B2696" w:rsidRPr="00284F01">
              <w:rPr>
                <w:rFonts w:ascii="Arial" w:hAnsi="Arial" w:cs="Arial"/>
                <w:sz w:val="18"/>
                <w:szCs w:val="18"/>
              </w:rPr>
              <w:t xml:space="preserve"> </w:t>
            </w:r>
            <w:r w:rsidR="00F32F00">
              <w:rPr>
                <w:rFonts w:ascii="Arial" w:hAnsi="Arial" w:cs="Arial"/>
                <w:sz w:val="18"/>
                <w:szCs w:val="18"/>
              </w:rPr>
              <w:t xml:space="preserve">(exkl. </w:t>
            </w:r>
            <w:r w:rsidR="00777F7F">
              <w:rPr>
                <w:rFonts w:ascii="Arial" w:hAnsi="Arial" w:cs="Arial"/>
                <w:sz w:val="18"/>
                <w:szCs w:val="18"/>
              </w:rPr>
              <w:t xml:space="preserve">Transferstrategien) </w:t>
            </w:r>
            <w:r w:rsidR="005B2696" w:rsidRPr="00284F01">
              <w:rPr>
                <w:rFonts w:ascii="Arial" w:hAnsi="Arial" w:cs="Arial"/>
                <w:sz w:val="18"/>
                <w:szCs w:val="18"/>
              </w:rPr>
              <w:t>abgebildet ist.</w:t>
            </w:r>
          </w:p>
        </w:tc>
        <w:tc>
          <w:tcPr>
            <w:tcW w:w="3105" w:type="dxa"/>
          </w:tcPr>
          <w:p w14:paraId="2E6EBC10" w14:textId="0407B788" w:rsidR="00143E86" w:rsidRPr="009872F3" w:rsidRDefault="00143E86" w:rsidP="00D204EB">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43E86" w:rsidRPr="009872F3" w14:paraId="71E122EC" w14:textId="77777777" w:rsidTr="0096765A">
        <w:trPr>
          <w:trHeight w:val="294"/>
        </w:trPr>
        <w:tc>
          <w:tcPr>
            <w:tcW w:w="317" w:type="dxa"/>
          </w:tcPr>
          <w:p w14:paraId="2B31C2CA" w14:textId="6D69FB02" w:rsidR="00143E86" w:rsidRDefault="001A562E" w:rsidP="00D204EB">
            <w:pPr>
              <w:jc w:val="both"/>
              <w:rPr>
                <w:rFonts w:ascii="Arial" w:hAnsi="Arial" w:cs="Arial"/>
                <w:sz w:val="18"/>
                <w:szCs w:val="18"/>
              </w:rPr>
            </w:pPr>
            <w:r>
              <w:rPr>
                <w:rFonts w:ascii="Arial" w:hAnsi="Arial" w:cs="Arial"/>
                <w:sz w:val="18"/>
                <w:szCs w:val="18"/>
              </w:rPr>
              <w:t>2</w:t>
            </w:r>
          </w:p>
        </w:tc>
        <w:tc>
          <w:tcPr>
            <w:tcW w:w="6092" w:type="dxa"/>
            <w:gridSpan w:val="3"/>
          </w:tcPr>
          <w:p w14:paraId="2F0A7B8D" w14:textId="39DE4152" w:rsidR="00143E86" w:rsidRPr="009872F3" w:rsidRDefault="00143E86" w:rsidP="00D204EB">
            <w:pPr>
              <w:jc w:val="both"/>
              <w:rPr>
                <w:rFonts w:ascii="Arial" w:hAnsi="Arial" w:cs="Arial"/>
                <w:sz w:val="18"/>
                <w:szCs w:val="18"/>
              </w:rPr>
            </w:pPr>
            <w:r w:rsidRPr="00CB06D0">
              <w:rPr>
                <w:rFonts w:ascii="Arial" w:hAnsi="Arial" w:cs="Arial"/>
                <w:sz w:val="18"/>
                <w:szCs w:val="18"/>
              </w:rPr>
              <w:t>Bestätigung, dass interne Verfahren</w:t>
            </w:r>
            <w:r>
              <w:rPr>
                <w:rFonts w:ascii="Arial" w:hAnsi="Arial" w:cs="Arial"/>
                <w:sz w:val="18"/>
                <w:szCs w:val="18"/>
              </w:rPr>
              <w:t xml:space="preserve"> </w:t>
            </w:r>
            <w:r w:rsidR="0083057A">
              <w:rPr>
                <w:rFonts w:ascii="Arial" w:hAnsi="Arial" w:cs="Arial"/>
                <w:sz w:val="18"/>
                <w:szCs w:val="18"/>
              </w:rPr>
              <w:t>eine</w:t>
            </w:r>
            <w:r w:rsidR="000B335E">
              <w:rPr>
                <w:rFonts w:ascii="Arial" w:hAnsi="Arial" w:cs="Arial"/>
                <w:sz w:val="18"/>
                <w:szCs w:val="18"/>
              </w:rPr>
              <w:t xml:space="preserve"> Abschätzung von</w:t>
            </w:r>
            <w:r>
              <w:rPr>
                <w:rFonts w:ascii="Arial" w:hAnsi="Arial" w:cs="Arial"/>
                <w:sz w:val="18"/>
                <w:szCs w:val="18"/>
              </w:rPr>
              <w:t xml:space="preserve"> Auswirkungen wesentlicher geschäftlicher und/oder betrieblicher Vorkommnisse, inklusive der Anwendung von Sanierungsmassnahmen, auf die Abwicklungsfähigkeit des Unternehmens </w:t>
            </w:r>
            <w:r w:rsidR="0083057A">
              <w:rPr>
                <w:rFonts w:ascii="Arial" w:hAnsi="Arial" w:cs="Arial"/>
                <w:sz w:val="18"/>
                <w:szCs w:val="18"/>
              </w:rPr>
              <w:t>ermöglichen</w:t>
            </w:r>
            <w:r>
              <w:rPr>
                <w:rFonts w:ascii="Arial" w:hAnsi="Arial" w:cs="Arial"/>
                <w:sz w:val="18"/>
                <w:szCs w:val="18"/>
              </w:rPr>
              <w:t>.</w:t>
            </w:r>
          </w:p>
        </w:tc>
        <w:tc>
          <w:tcPr>
            <w:tcW w:w="3105" w:type="dxa"/>
          </w:tcPr>
          <w:p w14:paraId="4032A498" w14:textId="02DE11A7" w:rsidR="00143E86" w:rsidRPr="00E109DF" w:rsidRDefault="00143E86" w:rsidP="00D204E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43E86" w:rsidRPr="009872F3" w14:paraId="4863F1D1" w14:textId="77777777" w:rsidTr="0096765A">
        <w:trPr>
          <w:trHeight w:val="294"/>
        </w:trPr>
        <w:tc>
          <w:tcPr>
            <w:tcW w:w="317" w:type="dxa"/>
          </w:tcPr>
          <w:p w14:paraId="1FCEDCC9" w14:textId="5E26F613" w:rsidR="00143E86" w:rsidRDefault="001A562E" w:rsidP="00D204EB">
            <w:pPr>
              <w:jc w:val="both"/>
              <w:rPr>
                <w:rFonts w:ascii="Arial" w:hAnsi="Arial" w:cs="Arial"/>
                <w:sz w:val="18"/>
                <w:szCs w:val="18"/>
              </w:rPr>
            </w:pPr>
            <w:r>
              <w:rPr>
                <w:rFonts w:ascii="Arial" w:hAnsi="Arial" w:cs="Arial"/>
                <w:sz w:val="18"/>
                <w:szCs w:val="18"/>
              </w:rPr>
              <w:t>3</w:t>
            </w:r>
          </w:p>
        </w:tc>
        <w:tc>
          <w:tcPr>
            <w:tcW w:w="6092" w:type="dxa"/>
            <w:gridSpan w:val="3"/>
          </w:tcPr>
          <w:p w14:paraId="5DF8D187" w14:textId="605E6499" w:rsidR="00143E86" w:rsidRPr="009872F3" w:rsidRDefault="00143E86" w:rsidP="00D204EB">
            <w:pPr>
              <w:jc w:val="both"/>
              <w:rPr>
                <w:rFonts w:ascii="Arial" w:hAnsi="Arial" w:cs="Arial"/>
                <w:sz w:val="18"/>
                <w:szCs w:val="18"/>
              </w:rPr>
            </w:pPr>
            <w:r>
              <w:rPr>
                <w:rFonts w:ascii="Arial" w:hAnsi="Arial" w:cs="Arial"/>
                <w:sz w:val="18"/>
                <w:szCs w:val="18"/>
              </w:rPr>
              <w:t xml:space="preserve">Bestätigung, dass interne Verfahren </w:t>
            </w:r>
            <w:r w:rsidR="00C913CB">
              <w:rPr>
                <w:rFonts w:ascii="Arial" w:hAnsi="Arial" w:cs="Arial"/>
                <w:sz w:val="18"/>
                <w:szCs w:val="18"/>
              </w:rPr>
              <w:t xml:space="preserve">eine </w:t>
            </w:r>
            <w:r>
              <w:rPr>
                <w:rFonts w:ascii="Arial" w:hAnsi="Arial" w:cs="Arial"/>
                <w:sz w:val="18"/>
                <w:szCs w:val="18"/>
              </w:rPr>
              <w:t xml:space="preserve">angemessene interne und externe Kommunikationsstrategie </w:t>
            </w:r>
            <w:r w:rsidR="00FF049F">
              <w:rPr>
                <w:rFonts w:ascii="Arial" w:hAnsi="Arial" w:cs="Arial"/>
                <w:sz w:val="18"/>
                <w:szCs w:val="18"/>
              </w:rPr>
              <w:t>(</w:t>
            </w:r>
            <w:r w:rsidR="00932C94">
              <w:rPr>
                <w:rFonts w:ascii="Arial" w:hAnsi="Arial" w:cs="Arial"/>
                <w:sz w:val="18"/>
                <w:szCs w:val="18"/>
              </w:rPr>
              <w:t xml:space="preserve">auch bei </w:t>
            </w:r>
            <w:r w:rsidR="00A65F4C">
              <w:rPr>
                <w:rFonts w:ascii="Arial" w:hAnsi="Arial" w:cs="Arial"/>
                <w:sz w:val="18"/>
                <w:szCs w:val="18"/>
              </w:rPr>
              <w:t>Identi</w:t>
            </w:r>
            <w:r w:rsidR="00932C94">
              <w:rPr>
                <w:rFonts w:ascii="Arial" w:hAnsi="Arial" w:cs="Arial"/>
                <w:sz w:val="18"/>
                <w:szCs w:val="18"/>
              </w:rPr>
              <w:t>fizierung von</w:t>
            </w:r>
            <w:r w:rsidR="00735287">
              <w:rPr>
                <w:rFonts w:ascii="Arial" w:hAnsi="Arial" w:cs="Arial"/>
                <w:sz w:val="18"/>
                <w:szCs w:val="18"/>
              </w:rPr>
              <w:t xml:space="preserve"> Hindernisse</w:t>
            </w:r>
            <w:r w:rsidR="00A65F4C">
              <w:rPr>
                <w:rFonts w:ascii="Arial" w:hAnsi="Arial" w:cs="Arial"/>
                <w:sz w:val="18"/>
                <w:szCs w:val="18"/>
              </w:rPr>
              <w:t>n</w:t>
            </w:r>
            <w:r w:rsidR="005A162C">
              <w:rPr>
                <w:rFonts w:ascii="Arial" w:hAnsi="Arial" w:cs="Arial"/>
                <w:sz w:val="18"/>
                <w:szCs w:val="18"/>
              </w:rPr>
              <w:t xml:space="preserve"> </w:t>
            </w:r>
            <w:r w:rsidR="000C0745">
              <w:rPr>
                <w:rFonts w:ascii="Arial" w:hAnsi="Arial" w:cs="Arial"/>
                <w:sz w:val="18"/>
                <w:szCs w:val="18"/>
              </w:rPr>
              <w:t>bezüglich der</w:t>
            </w:r>
            <w:r w:rsidR="005A162C">
              <w:rPr>
                <w:rFonts w:ascii="Arial" w:hAnsi="Arial" w:cs="Arial"/>
                <w:sz w:val="18"/>
                <w:szCs w:val="18"/>
              </w:rPr>
              <w:t xml:space="preserve"> Durchführung des Abw</w:t>
            </w:r>
            <w:r w:rsidR="000C6492">
              <w:rPr>
                <w:rFonts w:ascii="Arial" w:hAnsi="Arial" w:cs="Arial"/>
                <w:sz w:val="18"/>
                <w:szCs w:val="18"/>
              </w:rPr>
              <w:t>icklungsplans</w:t>
            </w:r>
            <w:r w:rsidR="006E5B03">
              <w:rPr>
                <w:rFonts w:ascii="Arial" w:hAnsi="Arial" w:cs="Arial"/>
                <w:sz w:val="18"/>
                <w:szCs w:val="18"/>
              </w:rPr>
              <w:t xml:space="preserve"> </w:t>
            </w:r>
            <w:r w:rsidR="001A2ED4">
              <w:rPr>
                <w:rFonts w:ascii="Arial" w:hAnsi="Arial" w:cs="Arial"/>
                <w:sz w:val="18"/>
                <w:szCs w:val="18"/>
              </w:rPr>
              <w:t xml:space="preserve">gemäss </w:t>
            </w:r>
            <w:r w:rsidR="00777D8A">
              <w:rPr>
                <w:rFonts w:ascii="Arial" w:hAnsi="Arial" w:cs="Arial"/>
                <w:sz w:val="18"/>
                <w:szCs w:val="18"/>
              </w:rPr>
              <w:t xml:space="preserve">Art. 26 Abs 3. </w:t>
            </w:r>
            <w:proofErr w:type="spellStart"/>
            <w:r w:rsidR="00777D8A" w:rsidRPr="00777D8A">
              <w:rPr>
                <w:rFonts w:ascii="Arial" w:hAnsi="Arial" w:cs="Arial"/>
                <w:sz w:val="18"/>
                <w:szCs w:val="18"/>
              </w:rPr>
              <w:t>delVO</w:t>
            </w:r>
            <w:proofErr w:type="spellEnd"/>
            <w:r w:rsidR="00777D8A" w:rsidRPr="00777D8A">
              <w:rPr>
                <w:rFonts w:ascii="Arial" w:hAnsi="Arial" w:cs="Arial"/>
                <w:sz w:val="18"/>
                <w:szCs w:val="18"/>
              </w:rPr>
              <w:t xml:space="preserve"> 2016/1075</w:t>
            </w:r>
            <w:r w:rsidR="000C6492">
              <w:rPr>
                <w:rFonts w:ascii="Arial" w:hAnsi="Arial" w:cs="Arial"/>
                <w:sz w:val="18"/>
                <w:szCs w:val="18"/>
              </w:rPr>
              <w:t>)</w:t>
            </w:r>
            <w:r>
              <w:rPr>
                <w:rFonts w:ascii="Arial" w:hAnsi="Arial" w:cs="Arial"/>
                <w:sz w:val="18"/>
                <w:szCs w:val="18"/>
              </w:rPr>
              <w:t xml:space="preserve"> vor</w:t>
            </w:r>
            <w:r w:rsidR="00F83F21">
              <w:rPr>
                <w:rFonts w:ascii="Arial" w:hAnsi="Arial" w:cs="Arial"/>
                <w:sz w:val="18"/>
                <w:szCs w:val="18"/>
              </w:rPr>
              <w:t xml:space="preserve"> und</w:t>
            </w:r>
            <w:r>
              <w:rPr>
                <w:rFonts w:ascii="Arial" w:hAnsi="Arial" w:cs="Arial"/>
                <w:sz w:val="18"/>
                <w:szCs w:val="18"/>
              </w:rPr>
              <w:t xml:space="preserve"> während der Abwicklung </w:t>
            </w:r>
            <w:r w:rsidR="0083057A">
              <w:rPr>
                <w:rFonts w:ascii="Arial" w:hAnsi="Arial" w:cs="Arial"/>
                <w:sz w:val="18"/>
                <w:szCs w:val="18"/>
              </w:rPr>
              <w:t>ermöglichen</w:t>
            </w:r>
            <w:r>
              <w:rPr>
                <w:rFonts w:ascii="Arial" w:hAnsi="Arial" w:cs="Arial"/>
                <w:sz w:val="18"/>
                <w:szCs w:val="18"/>
              </w:rPr>
              <w:t>.</w:t>
            </w:r>
          </w:p>
        </w:tc>
        <w:tc>
          <w:tcPr>
            <w:tcW w:w="3105" w:type="dxa"/>
          </w:tcPr>
          <w:p w14:paraId="2D8AFEF6" w14:textId="711AC155" w:rsidR="00143E86" w:rsidRPr="00E109DF" w:rsidRDefault="00143E86" w:rsidP="00D204E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43E86" w:rsidRPr="009872F3" w14:paraId="1E7638B2" w14:textId="77777777" w:rsidTr="0096765A">
        <w:trPr>
          <w:trHeight w:val="294"/>
        </w:trPr>
        <w:tc>
          <w:tcPr>
            <w:tcW w:w="317" w:type="dxa"/>
          </w:tcPr>
          <w:p w14:paraId="7CDBBA53" w14:textId="1AF6C0AB" w:rsidR="00143E86" w:rsidRDefault="001A562E" w:rsidP="00D204EB">
            <w:pPr>
              <w:jc w:val="both"/>
              <w:rPr>
                <w:rFonts w:ascii="Arial" w:hAnsi="Arial" w:cs="Arial"/>
                <w:sz w:val="18"/>
                <w:szCs w:val="18"/>
              </w:rPr>
            </w:pPr>
            <w:r>
              <w:rPr>
                <w:rFonts w:ascii="Arial" w:hAnsi="Arial" w:cs="Arial"/>
                <w:sz w:val="18"/>
                <w:szCs w:val="18"/>
              </w:rPr>
              <w:t>4</w:t>
            </w:r>
          </w:p>
        </w:tc>
        <w:tc>
          <w:tcPr>
            <w:tcW w:w="6092" w:type="dxa"/>
            <w:gridSpan w:val="3"/>
          </w:tcPr>
          <w:p w14:paraId="1487FFF6" w14:textId="1E7CB4B8" w:rsidR="00143E86" w:rsidRPr="009872F3" w:rsidRDefault="00143E86" w:rsidP="00D204EB">
            <w:pPr>
              <w:jc w:val="both"/>
              <w:rPr>
                <w:rFonts w:ascii="Arial" w:hAnsi="Arial" w:cs="Arial"/>
                <w:sz w:val="18"/>
                <w:szCs w:val="18"/>
              </w:rPr>
            </w:pPr>
            <w:r w:rsidRPr="00CB06D0">
              <w:rPr>
                <w:rFonts w:ascii="Arial" w:hAnsi="Arial" w:cs="Arial"/>
                <w:sz w:val="18"/>
                <w:szCs w:val="18"/>
              </w:rPr>
              <w:t xml:space="preserve">Bestätigung, dass </w:t>
            </w:r>
            <w:r w:rsidR="00284077">
              <w:rPr>
                <w:rFonts w:ascii="Arial" w:hAnsi="Arial" w:cs="Arial"/>
                <w:sz w:val="18"/>
                <w:szCs w:val="18"/>
              </w:rPr>
              <w:t xml:space="preserve">interne </w:t>
            </w:r>
            <w:r w:rsidRPr="00CB06D0">
              <w:rPr>
                <w:rFonts w:ascii="Arial" w:hAnsi="Arial" w:cs="Arial"/>
                <w:sz w:val="18"/>
                <w:szCs w:val="18"/>
              </w:rPr>
              <w:t xml:space="preserve">Verfahren </w:t>
            </w:r>
            <w:r w:rsidR="00C913CB">
              <w:rPr>
                <w:rFonts w:ascii="Arial" w:hAnsi="Arial" w:cs="Arial"/>
                <w:sz w:val="18"/>
                <w:szCs w:val="18"/>
              </w:rPr>
              <w:t xml:space="preserve">im Bedarfsfall </w:t>
            </w:r>
            <w:r>
              <w:rPr>
                <w:rFonts w:ascii="Arial" w:hAnsi="Arial" w:cs="Arial"/>
                <w:sz w:val="18"/>
                <w:szCs w:val="18"/>
              </w:rPr>
              <w:t xml:space="preserve">die </w:t>
            </w:r>
            <w:r w:rsidR="59D3FE8B" w:rsidRPr="61EE8D92">
              <w:rPr>
                <w:rFonts w:ascii="Arial" w:hAnsi="Arial" w:cs="Arial"/>
                <w:sz w:val="18"/>
                <w:szCs w:val="18"/>
              </w:rPr>
              <w:t>Einschätzung und Quantifizierung</w:t>
            </w:r>
            <w:r w:rsidR="6C2851DB" w:rsidRPr="61EE8D92">
              <w:rPr>
                <w:rFonts w:ascii="Arial" w:hAnsi="Arial" w:cs="Arial"/>
                <w:sz w:val="18"/>
                <w:szCs w:val="18"/>
              </w:rPr>
              <w:t xml:space="preserve"> </w:t>
            </w:r>
            <w:r>
              <w:rPr>
                <w:rFonts w:ascii="Arial" w:hAnsi="Arial" w:cs="Arial"/>
                <w:sz w:val="18"/>
                <w:szCs w:val="18"/>
              </w:rPr>
              <w:t>steuer-, arbeits- und sozialrechtlichen</w:t>
            </w:r>
            <w:r w:rsidRPr="00CB06D0">
              <w:rPr>
                <w:rFonts w:ascii="Arial" w:hAnsi="Arial" w:cs="Arial"/>
                <w:sz w:val="18"/>
                <w:szCs w:val="18"/>
              </w:rPr>
              <w:t xml:space="preserve"> </w:t>
            </w:r>
            <w:r>
              <w:rPr>
                <w:rFonts w:ascii="Arial" w:hAnsi="Arial" w:cs="Arial"/>
                <w:sz w:val="18"/>
                <w:szCs w:val="18"/>
              </w:rPr>
              <w:t xml:space="preserve">Auswirkungen </w:t>
            </w:r>
            <w:r w:rsidR="003837A7">
              <w:rPr>
                <w:rFonts w:ascii="Arial" w:hAnsi="Arial" w:cs="Arial"/>
                <w:sz w:val="18"/>
                <w:szCs w:val="18"/>
              </w:rPr>
              <w:t xml:space="preserve">sowie die ESG-Konformität </w:t>
            </w:r>
            <w:r>
              <w:rPr>
                <w:rFonts w:ascii="Arial" w:hAnsi="Arial" w:cs="Arial"/>
                <w:sz w:val="18"/>
                <w:szCs w:val="18"/>
              </w:rPr>
              <w:t xml:space="preserve">der </w:t>
            </w:r>
            <w:r w:rsidRPr="00CB06D0">
              <w:rPr>
                <w:rFonts w:ascii="Arial" w:hAnsi="Arial" w:cs="Arial"/>
                <w:sz w:val="18"/>
                <w:szCs w:val="18"/>
              </w:rPr>
              <w:t xml:space="preserve">Durchführung des Abwicklungsplans </w:t>
            </w:r>
            <w:r>
              <w:rPr>
                <w:rFonts w:ascii="Arial" w:hAnsi="Arial" w:cs="Arial"/>
                <w:sz w:val="18"/>
                <w:szCs w:val="18"/>
              </w:rPr>
              <w:t>oder anderer Abwicklungsmassnahmen (z.B. steuerrechtlicher Sanierungsgewinn</w:t>
            </w:r>
            <w:r w:rsidR="00B66FED">
              <w:rPr>
                <w:rFonts w:ascii="Arial" w:hAnsi="Arial" w:cs="Arial"/>
                <w:sz w:val="18"/>
                <w:szCs w:val="18"/>
              </w:rPr>
              <w:t xml:space="preserve"> oder Organschaft</w:t>
            </w:r>
            <w:r>
              <w:rPr>
                <w:rFonts w:ascii="Arial" w:hAnsi="Arial" w:cs="Arial"/>
                <w:sz w:val="18"/>
                <w:szCs w:val="18"/>
              </w:rPr>
              <w:t xml:space="preserve">, arbeitsrechtlicher Betriebsübergang, usw) </w:t>
            </w:r>
            <w:r w:rsidR="00B868BC">
              <w:rPr>
                <w:rFonts w:ascii="Arial" w:hAnsi="Arial" w:cs="Arial"/>
                <w:sz w:val="18"/>
                <w:szCs w:val="18"/>
              </w:rPr>
              <w:t>auf Grupp</w:t>
            </w:r>
            <w:r w:rsidR="00065C8C">
              <w:rPr>
                <w:rFonts w:ascii="Arial" w:hAnsi="Arial" w:cs="Arial"/>
                <w:sz w:val="18"/>
                <w:szCs w:val="18"/>
              </w:rPr>
              <w:t xml:space="preserve">e und </w:t>
            </w:r>
            <w:r w:rsidR="00DC2228">
              <w:rPr>
                <w:rFonts w:ascii="Arial" w:hAnsi="Arial" w:cs="Arial"/>
                <w:sz w:val="18"/>
                <w:szCs w:val="18"/>
              </w:rPr>
              <w:t>Einzelentität</w:t>
            </w:r>
            <w:r w:rsidR="00065C8C">
              <w:rPr>
                <w:rFonts w:ascii="Arial" w:hAnsi="Arial" w:cs="Arial"/>
                <w:sz w:val="18"/>
                <w:szCs w:val="18"/>
              </w:rPr>
              <w:t xml:space="preserve"> </w:t>
            </w:r>
            <w:r w:rsidR="099B7784" w:rsidRPr="61EE8D92">
              <w:rPr>
                <w:rFonts w:ascii="Arial" w:hAnsi="Arial" w:cs="Arial"/>
                <w:sz w:val="18"/>
                <w:szCs w:val="18"/>
              </w:rPr>
              <w:t>ermöglichen.</w:t>
            </w:r>
          </w:p>
        </w:tc>
        <w:tc>
          <w:tcPr>
            <w:tcW w:w="3105" w:type="dxa"/>
          </w:tcPr>
          <w:p w14:paraId="407332F2" w14:textId="504A0828" w:rsidR="00143E86" w:rsidRPr="00E109DF" w:rsidRDefault="00143E86" w:rsidP="00D204E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74823" w:rsidRPr="009872F3" w14:paraId="7912A4AE" w14:textId="77777777" w:rsidTr="0096765A">
        <w:trPr>
          <w:trHeight w:val="294"/>
        </w:trPr>
        <w:tc>
          <w:tcPr>
            <w:tcW w:w="317" w:type="dxa"/>
          </w:tcPr>
          <w:p w14:paraId="22A1041B" w14:textId="183ED499" w:rsidR="00E74823" w:rsidRDefault="00E74823" w:rsidP="00D204EB">
            <w:pPr>
              <w:jc w:val="both"/>
              <w:rPr>
                <w:rFonts w:ascii="Arial" w:hAnsi="Arial" w:cs="Arial"/>
                <w:sz w:val="18"/>
                <w:szCs w:val="18"/>
              </w:rPr>
            </w:pPr>
            <w:r>
              <w:rPr>
                <w:rFonts w:ascii="Arial" w:hAnsi="Arial" w:cs="Arial"/>
                <w:sz w:val="18"/>
                <w:szCs w:val="18"/>
              </w:rPr>
              <w:t>5</w:t>
            </w:r>
          </w:p>
        </w:tc>
        <w:tc>
          <w:tcPr>
            <w:tcW w:w="6092" w:type="dxa"/>
            <w:gridSpan w:val="3"/>
          </w:tcPr>
          <w:p w14:paraId="16274366" w14:textId="7E48EC92" w:rsidR="00E74823" w:rsidRPr="00CB06D0" w:rsidRDefault="00E74823" w:rsidP="00D204EB">
            <w:pPr>
              <w:jc w:val="both"/>
              <w:rPr>
                <w:rFonts w:ascii="Arial" w:hAnsi="Arial" w:cs="Arial"/>
                <w:sz w:val="18"/>
                <w:szCs w:val="18"/>
              </w:rPr>
            </w:pPr>
            <w:r w:rsidRPr="5BDDCDE6">
              <w:rPr>
                <w:rFonts w:ascii="Arial" w:hAnsi="Arial" w:cs="Arial"/>
                <w:sz w:val="18"/>
                <w:szCs w:val="18"/>
              </w:rPr>
              <w:t xml:space="preserve">Bestätigung, dass die internen Verfahren die Führung einer Liste gemäss Anhang der </w:t>
            </w:r>
            <w:r>
              <w:rPr>
                <w:rFonts w:ascii="Arial" w:hAnsi="Arial" w:cs="Arial"/>
                <w:sz w:val="18"/>
                <w:szCs w:val="18"/>
              </w:rPr>
              <w:t>d</w:t>
            </w:r>
            <w:r w:rsidRPr="5BDDCDE6">
              <w:rPr>
                <w:rFonts w:ascii="Arial" w:hAnsi="Arial" w:cs="Arial"/>
                <w:sz w:val="18"/>
                <w:szCs w:val="18"/>
              </w:rPr>
              <w:t>elVO (EU) 2016/1712 (Angaben zu Finanzkontrakten) ermöglichen.</w:t>
            </w:r>
          </w:p>
        </w:tc>
        <w:tc>
          <w:tcPr>
            <w:tcW w:w="3105" w:type="dxa"/>
          </w:tcPr>
          <w:p w14:paraId="7B514D62" w14:textId="0507C2D5" w:rsidR="00E74823" w:rsidRPr="00E109DF" w:rsidRDefault="00E74823" w:rsidP="00D204E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57D6D" w:rsidRPr="009872F3" w14:paraId="497D247A" w14:textId="77777777" w:rsidTr="0096765A">
        <w:trPr>
          <w:trHeight w:val="294"/>
        </w:trPr>
        <w:tc>
          <w:tcPr>
            <w:tcW w:w="317" w:type="dxa"/>
          </w:tcPr>
          <w:p w14:paraId="3C645E11" w14:textId="20463C04" w:rsidR="00057D6D" w:rsidRDefault="00E74823" w:rsidP="00057D6D">
            <w:pPr>
              <w:jc w:val="both"/>
              <w:rPr>
                <w:rFonts w:ascii="Arial" w:hAnsi="Arial" w:cs="Arial"/>
                <w:sz w:val="18"/>
                <w:szCs w:val="18"/>
              </w:rPr>
            </w:pPr>
            <w:r>
              <w:rPr>
                <w:rFonts w:ascii="Arial" w:hAnsi="Arial" w:cs="Arial"/>
                <w:sz w:val="18"/>
                <w:szCs w:val="18"/>
              </w:rPr>
              <w:t>6</w:t>
            </w:r>
          </w:p>
        </w:tc>
        <w:tc>
          <w:tcPr>
            <w:tcW w:w="6092" w:type="dxa"/>
            <w:gridSpan w:val="3"/>
          </w:tcPr>
          <w:p w14:paraId="717984E5" w14:textId="01A86CEB" w:rsidR="00057D6D" w:rsidRPr="00CB06D0" w:rsidRDefault="00057D6D" w:rsidP="00057D6D">
            <w:pPr>
              <w:jc w:val="both"/>
              <w:rPr>
                <w:rFonts w:ascii="Arial" w:hAnsi="Arial" w:cs="Arial"/>
                <w:sz w:val="18"/>
                <w:szCs w:val="18"/>
              </w:rPr>
            </w:pPr>
            <w:r w:rsidRPr="3FE68DD0">
              <w:rPr>
                <w:rFonts w:ascii="Arial" w:hAnsi="Arial" w:cs="Arial"/>
                <w:sz w:val="18"/>
                <w:szCs w:val="18"/>
              </w:rPr>
              <w:t>Bestätigung, dass die internen Verfahren eine Bewertung durch einen unabhängigen Bewerter nach den Bewertungskriterien gemäss Art. 4</w:t>
            </w:r>
            <w:r>
              <w:rPr>
                <w:rFonts w:ascii="Arial" w:hAnsi="Arial" w:cs="Arial"/>
                <w:sz w:val="18"/>
                <w:szCs w:val="18"/>
              </w:rPr>
              <w:t>7</w:t>
            </w:r>
            <w:r w:rsidRPr="3FE68DD0">
              <w:rPr>
                <w:rFonts w:ascii="Arial" w:hAnsi="Arial" w:cs="Arial"/>
                <w:sz w:val="18"/>
                <w:szCs w:val="18"/>
              </w:rPr>
              <w:t xml:space="preserve"> </w:t>
            </w:r>
            <w:r w:rsidR="002F15E8" w:rsidRPr="3FE68DD0">
              <w:rPr>
                <w:rFonts w:ascii="Arial" w:hAnsi="Arial" w:cs="Arial"/>
                <w:sz w:val="18"/>
                <w:szCs w:val="18"/>
              </w:rPr>
              <w:t xml:space="preserve">SAG </w:t>
            </w:r>
            <w:r w:rsidR="002F15E8">
              <w:rPr>
                <w:rFonts w:ascii="Arial" w:hAnsi="Arial" w:cs="Arial"/>
                <w:sz w:val="18"/>
                <w:szCs w:val="18"/>
              </w:rPr>
              <w:t>ermöglichen</w:t>
            </w:r>
            <w:r w:rsidRPr="3FE68DD0">
              <w:rPr>
                <w:rFonts w:ascii="Arial" w:hAnsi="Arial" w:cs="Arial"/>
                <w:sz w:val="18"/>
                <w:szCs w:val="18"/>
              </w:rPr>
              <w:t>.</w:t>
            </w:r>
          </w:p>
        </w:tc>
        <w:tc>
          <w:tcPr>
            <w:tcW w:w="3105" w:type="dxa"/>
          </w:tcPr>
          <w:p w14:paraId="5DEC3369" w14:textId="22630652" w:rsidR="00057D6D" w:rsidRPr="00E109DF" w:rsidRDefault="00057D6D" w:rsidP="00057D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C922B92" w14:textId="553ECC54" w:rsidR="61EE8D92" w:rsidRDefault="61EE8D92" w:rsidP="61EE8D92">
      <w:pPr>
        <w:pStyle w:val="FINMAGliederungEbene2"/>
        <w:numPr>
          <w:ilvl w:val="1"/>
          <w:numId w:val="0"/>
        </w:numPr>
      </w:pPr>
    </w:p>
    <w:tbl>
      <w:tblPr>
        <w:tblStyle w:val="Tabellenraster"/>
        <w:tblW w:w="0" w:type="auto"/>
        <w:tblLook w:val="04A0" w:firstRow="1" w:lastRow="0" w:firstColumn="1" w:lastColumn="0" w:noHBand="0" w:noVBand="1"/>
      </w:tblPr>
      <w:tblGrid>
        <w:gridCol w:w="1980"/>
        <w:gridCol w:w="7513"/>
      </w:tblGrid>
      <w:tr w:rsidR="00950C07" w:rsidRPr="00594F87" w14:paraId="2DA85FEB" w14:textId="77777777" w:rsidTr="00387D17">
        <w:trPr>
          <w:trHeight w:val="300"/>
        </w:trPr>
        <w:tc>
          <w:tcPr>
            <w:tcW w:w="1980" w:type="dxa"/>
          </w:tcPr>
          <w:p w14:paraId="32A08DEF" w14:textId="77777777" w:rsidR="00950C07" w:rsidRPr="00594F87" w:rsidRDefault="00950C07" w:rsidP="00387D17">
            <w:pPr>
              <w:jc w:val="both"/>
              <w:rPr>
                <w:rFonts w:ascii="Arial" w:hAnsi="Arial" w:cs="Arial"/>
                <w:b/>
                <w:bCs/>
                <w:i/>
                <w:iCs/>
                <w:sz w:val="18"/>
                <w:szCs w:val="18"/>
              </w:rPr>
            </w:pPr>
            <w:r w:rsidRPr="00594F87">
              <w:rPr>
                <w:rFonts w:ascii="Arial" w:hAnsi="Arial" w:cs="Arial"/>
                <w:b/>
                <w:bCs/>
                <w:i/>
                <w:iCs/>
                <w:sz w:val="18"/>
                <w:szCs w:val="18"/>
              </w:rPr>
              <w:t>Prüfelemente</w:t>
            </w:r>
          </w:p>
        </w:tc>
        <w:tc>
          <w:tcPr>
            <w:tcW w:w="7513" w:type="dxa"/>
          </w:tcPr>
          <w:p w14:paraId="5471D294" w14:textId="77777777" w:rsidR="00950C07" w:rsidRPr="00594F87" w:rsidRDefault="00950C07" w:rsidP="00387D17">
            <w:pPr>
              <w:jc w:val="both"/>
              <w:rPr>
                <w:rFonts w:ascii="Arial" w:hAnsi="Arial" w:cs="Arial"/>
                <w:b/>
                <w:bCs/>
                <w:i/>
                <w:iCs/>
                <w:sz w:val="18"/>
                <w:szCs w:val="18"/>
              </w:rPr>
            </w:pPr>
            <w:r w:rsidRPr="00594F87">
              <w:rPr>
                <w:rFonts w:ascii="Arial" w:hAnsi="Arial" w:cs="Arial"/>
                <w:b/>
                <w:bCs/>
                <w:i/>
                <w:iCs/>
                <w:sz w:val="18"/>
                <w:szCs w:val="18"/>
              </w:rPr>
              <w:t>Mindestprüfinhalte («Muster»)</w:t>
            </w:r>
          </w:p>
        </w:tc>
      </w:tr>
      <w:tr w:rsidR="008676CE" w:rsidRPr="00594F87" w14:paraId="51346184" w14:textId="77777777" w:rsidTr="00387D17">
        <w:trPr>
          <w:trHeight w:val="300"/>
        </w:trPr>
        <w:tc>
          <w:tcPr>
            <w:tcW w:w="1980" w:type="dxa"/>
          </w:tcPr>
          <w:p w14:paraId="0F87AC93" w14:textId="370B8EC0" w:rsidR="008676CE" w:rsidRPr="00594F87" w:rsidRDefault="008676CE" w:rsidP="008676CE">
            <w:pPr>
              <w:spacing w:line="259" w:lineRule="auto"/>
              <w:jc w:val="both"/>
              <w:rPr>
                <w:rFonts w:ascii="Arial" w:hAnsi="Arial" w:cs="Arial"/>
                <w:i/>
                <w:iCs/>
                <w:sz w:val="18"/>
                <w:szCs w:val="18"/>
              </w:rPr>
            </w:pPr>
            <w:r>
              <w:rPr>
                <w:rFonts w:ascii="Arial" w:eastAsia="Arial" w:hAnsi="Arial" w:cs="Arial"/>
                <w:i/>
                <w:iCs/>
                <w:sz w:val="18"/>
                <w:szCs w:val="18"/>
              </w:rPr>
              <w:t xml:space="preserve">Interne Organisation </w:t>
            </w:r>
          </w:p>
        </w:tc>
        <w:tc>
          <w:tcPr>
            <w:tcW w:w="7513" w:type="dxa"/>
          </w:tcPr>
          <w:p w14:paraId="517037FC" w14:textId="0C64699E" w:rsidR="008676CE" w:rsidRDefault="008676CE" w:rsidP="00C37D08">
            <w:pPr>
              <w:pStyle w:val="Listenabsatz"/>
              <w:numPr>
                <w:ilvl w:val="1"/>
                <w:numId w:val="10"/>
              </w:numPr>
              <w:spacing w:line="259" w:lineRule="auto"/>
              <w:ind w:left="317" w:hanging="283"/>
              <w:jc w:val="both"/>
              <w:rPr>
                <w:rFonts w:cs="Arial"/>
                <w:i/>
                <w:iCs/>
                <w:sz w:val="18"/>
                <w:szCs w:val="18"/>
              </w:rPr>
            </w:pPr>
            <w:r w:rsidRPr="00C3378F">
              <w:rPr>
                <w:rFonts w:cs="Arial"/>
                <w:i/>
                <w:iCs/>
                <w:sz w:val="18"/>
                <w:szCs w:val="18"/>
              </w:rPr>
              <w:t xml:space="preserve">Die interne Organisationsstruktur (z.B. Weisungswesen, </w:t>
            </w:r>
            <w:r w:rsidRPr="00685831">
              <w:rPr>
                <w:rFonts w:cs="Arial"/>
                <w:i/>
                <w:iCs/>
                <w:sz w:val="18"/>
                <w:szCs w:val="18"/>
              </w:rPr>
              <w:t>technischer und personelle und fachliche Ressourcen) stell</w:t>
            </w:r>
            <w:r>
              <w:rPr>
                <w:rFonts w:cs="Arial"/>
                <w:i/>
                <w:iCs/>
                <w:sz w:val="18"/>
                <w:szCs w:val="18"/>
              </w:rPr>
              <w:t>t</w:t>
            </w:r>
            <w:r w:rsidRPr="00685831">
              <w:rPr>
                <w:rFonts w:cs="Arial"/>
                <w:i/>
                <w:iCs/>
                <w:sz w:val="18"/>
                <w:szCs w:val="18"/>
              </w:rPr>
              <w:t xml:space="preserve"> sicher, dass Verfahren existieren, welche </w:t>
            </w:r>
            <w:r w:rsidR="009C4F1C">
              <w:rPr>
                <w:rFonts w:cs="Arial"/>
                <w:i/>
                <w:iCs/>
                <w:sz w:val="18"/>
                <w:szCs w:val="18"/>
              </w:rPr>
              <w:t xml:space="preserve">die Durchführbarkeit </w:t>
            </w:r>
            <w:r w:rsidR="00D22433">
              <w:rPr>
                <w:rFonts w:cs="Arial"/>
                <w:i/>
                <w:iCs/>
                <w:sz w:val="18"/>
                <w:szCs w:val="18"/>
              </w:rPr>
              <w:t>des Abwicklungsplans</w:t>
            </w:r>
            <w:r w:rsidR="00677ECB">
              <w:rPr>
                <w:rFonts w:cs="Arial"/>
                <w:i/>
                <w:iCs/>
                <w:sz w:val="18"/>
                <w:szCs w:val="18"/>
              </w:rPr>
              <w:t xml:space="preserve"> und die</w:t>
            </w:r>
            <w:r w:rsidR="00677ECB" w:rsidRPr="001A42C4">
              <w:rPr>
                <w:rFonts w:cs="Arial"/>
                <w:i/>
                <w:iCs/>
                <w:sz w:val="18"/>
                <w:szCs w:val="18"/>
              </w:rPr>
              <w:t xml:space="preserve"> Bereitstellung der notwendigen Informationen für eine unabhängige</w:t>
            </w:r>
            <w:r w:rsidR="00677ECB">
              <w:rPr>
                <w:rFonts w:cs="Arial"/>
                <w:i/>
                <w:iCs/>
                <w:sz w:val="18"/>
                <w:szCs w:val="18"/>
              </w:rPr>
              <w:t xml:space="preserve"> externe Bewertung</w:t>
            </w:r>
            <w:r w:rsidR="00D22433">
              <w:rPr>
                <w:rFonts w:cs="Arial"/>
                <w:i/>
                <w:iCs/>
                <w:sz w:val="18"/>
                <w:szCs w:val="18"/>
              </w:rPr>
              <w:t xml:space="preserve"> im Bedarfsfall ermöglichen</w:t>
            </w:r>
          </w:p>
          <w:p w14:paraId="4925EC47" w14:textId="3F61E3AB" w:rsidR="003422A0" w:rsidRPr="00685831" w:rsidRDefault="003422A0" w:rsidP="00C37D08">
            <w:pPr>
              <w:pStyle w:val="Listenabsatz"/>
              <w:numPr>
                <w:ilvl w:val="1"/>
                <w:numId w:val="10"/>
              </w:numPr>
              <w:spacing w:line="259" w:lineRule="auto"/>
              <w:ind w:left="317" w:hanging="283"/>
              <w:jc w:val="both"/>
              <w:rPr>
                <w:rFonts w:cs="Arial"/>
                <w:i/>
                <w:iCs/>
                <w:sz w:val="18"/>
                <w:szCs w:val="18"/>
              </w:rPr>
            </w:pPr>
            <w:r>
              <w:rPr>
                <w:rFonts w:cs="Arial"/>
                <w:i/>
                <w:iCs/>
                <w:sz w:val="18"/>
                <w:szCs w:val="18"/>
              </w:rPr>
              <w:t>D</w:t>
            </w:r>
            <w:r w:rsidR="00382446">
              <w:rPr>
                <w:rFonts w:cs="Arial"/>
                <w:i/>
                <w:iCs/>
                <w:sz w:val="18"/>
                <w:szCs w:val="18"/>
              </w:rPr>
              <w:t xml:space="preserve">ie </w:t>
            </w:r>
            <w:r>
              <w:rPr>
                <w:rFonts w:cs="Arial"/>
                <w:i/>
                <w:iCs/>
                <w:sz w:val="18"/>
                <w:szCs w:val="18"/>
              </w:rPr>
              <w:t xml:space="preserve">Abwicklungspläne wurden von den entsprechenden Gremien (Geschäftsleitung und </w:t>
            </w:r>
            <w:r w:rsidR="002F5A63">
              <w:rPr>
                <w:rFonts w:cs="Arial"/>
                <w:i/>
                <w:iCs/>
                <w:sz w:val="18"/>
                <w:szCs w:val="18"/>
              </w:rPr>
              <w:t>V</w:t>
            </w:r>
            <w:r>
              <w:rPr>
                <w:rFonts w:cs="Arial"/>
                <w:i/>
                <w:iCs/>
                <w:sz w:val="18"/>
                <w:szCs w:val="18"/>
              </w:rPr>
              <w:t>erwaltungsrat) bewilligt</w:t>
            </w:r>
            <w:r w:rsidR="002A32B0">
              <w:rPr>
                <w:rFonts w:cs="Arial"/>
                <w:i/>
                <w:iCs/>
                <w:sz w:val="18"/>
                <w:szCs w:val="18"/>
              </w:rPr>
              <w:t xml:space="preserve"> </w:t>
            </w:r>
            <w:r>
              <w:rPr>
                <w:rFonts w:cs="Arial"/>
                <w:i/>
                <w:iCs/>
                <w:sz w:val="18"/>
                <w:szCs w:val="18"/>
              </w:rPr>
              <w:t xml:space="preserve">und die entsprechenden Verantwortlichkeiten und </w:t>
            </w:r>
            <w:r w:rsidR="002F5A63">
              <w:rPr>
                <w:rFonts w:cs="Arial"/>
                <w:i/>
                <w:iCs/>
                <w:sz w:val="18"/>
                <w:szCs w:val="18"/>
              </w:rPr>
              <w:t xml:space="preserve">Eskalationsmechanismen </w:t>
            </w:r>
            <w:r w:rsidR="00382446">
              <w:rPr>
                <w:rFonts w:cs="Arial"/>
                <w:i/>
                <w:iCs/>
                <w:sz w:val="18"/>
                <w:szCs w:val="18"/>
              </w:rPr>
              <w:t xml:space="preserve">sind klar geregelt </w:t>
            </w:r>
          </w:p>
          <w:p w14:paraId="62F44CD5" w14:textId="35671B62" w:rsidR="00632CD9" w:rsidRPr="00387D17" w:rsidRDefault="00573FC8" w:rsidP="002900EA">
            <w:pPr>
              <w:pStyle w:val="Listenabsatz"/>
              <w:numPr>
                <w:ilvl w:val="1"/>
                <w:numId w:val="10"/>
              </w:numPr>
              <w:spacing w:line="259" w:lineRule="auto"/>
              <w:ind w:left="317" w:hanging="283"/>
              <w:jc w:val="both"/>
              <w:rPr>
                <w:rFonts w:cs="Arial"/>
                <w:i/>
                <w:iCs/>
                <w:sz w:val="18"/>
                <w:szCs w:val="18"/>
              </w:rPr>
            </w:pPr>
            <w:r w:rsidRPr="00387D17">
              <w:rPr>
                <w:rFonts w:cs="Arial"/>
                <w:i/>
                <w:iCs/>
                <w:sz w:val="18"/>
                <w:szCs w:val="18"/>
              </w:rPr>
              <w:lastRenderedPageBreak/>
              <w:t xml:space="preserve">Die wesentlichen Risiken </w:t>
            </w:r>
            <w:r w:rsidR="00EC52A2">
              <w:rPr>
                <w:rFonts w:cs="Arial"/>
                <w:i/>
                <w:iCs/>
                <w:sz w:val="18"/>
                <w:szCs w:val="18"/>
              </w:rPr>
              <w:t xml:space="preserve">im Zusammenhang mit einer möglichen Abwicklung </w:t>
            </w:r>
            <w:r w:rsidRPr="00387D17">
              <w:rPr>
                <w:rFonts w:cs="Arial"/>
                <w:i/>
                <w:iCs/>
                <w:sz w:val="18"/>
                <w:szCs w:val="18"/>
              </w:rPr>
              <w:t>werden laufend identifiziert, bewertet, gemessen, begrenzt, überwacht und gesteuert</w:t>
            </w:r>
          </w:p>
        </w:tc>
      </w:tr>
      <w:tr w:rsidR="008676CE" w:rsidRPr="00594F87" w14:paraId="68C06886" w14:textId="77777777" w:rsidTr="00387D17">
        <w:trPr>
          <w:trHeight w:val="300"/>
        </w:trPr>
        <w:tc>
          <w:tcPr>
            <w:tcW w:w="1980" w:type="dxa"/>
          </w:tcPr>
          <w:p w14:paraId="530C0C9C" w14:textId="5920AF63" w:rsidR="008676CE" w:rsidRPr="00B3666B" w:rsidRDefault="008676CE" w:rsidP="008676CE">
            <w:pPr>
              <w:spacing w:line="259" w:lineRule="auto"/>
              <w:jc w:val="both"/>
              <w:rPr>
                <w:rFonts w:ascii="Arial" w:hAnsi="Arial" w:cs="Arial"/>
                <w:i/>
                <w:iCs/>
                <w:sz w:val="18"/>
                <w:szCs w:val="18"/>
              </w:rPr>
            </w:pPr>
            <w:r w:rsidRPr="00B3666B">
              <w:rPr>
                <w:rFonts w:ascii="Arial" w:eastAsia="Arial" w:hAnsi="Arial" w:cs="Arial"/>
                <w:i/>
                <w:iCs/>
                <w:sz w:val="18"/>
                <w:szCs w:val="18"/>
              </w:rPr>
              <w:lastRenderedPageBreak/>
              <w:t>Internes Kontrollsystem, Prozesse und Berichterstattung</w:t>
            </w:r>
          </w:p>
        </w:tc>
        <w:tc>
          <w:tcPr>
            <w:tcW w:w="7513" w:type="dxa"/>
          </w:tcPr>
          <w:p w14:paraId="40EA1F64" w14:textId="2967F682" w:rsidR="00762B17" w:rsidRPr="00B3666B" w:rsidRDefault="008676CE" w:rsidP="00C37D08">
            <w:pPr>
              <w:pStyle w:val="Listenabsatz"/>
              <w:numPr>
                <w:ilvl w:val="1"/>
                <w:numId w:val="6"/>
              </w:numPr>
              <w:ind w:left="317" w:hanging="283"/>
              <w:jc w:val="both"/>
              <w:rPr>
                <w:rFonts w:cs="Arial"/>
                <w:i/>
                <w:iCs/>
                <w:sz w:val="18"/>
                <w:szCs w:val="18"/>
              </w:rPr>
            </w:pPr>
            <w:r w:rsidRPr="00B3666B">
              <w:rPr>
                <w:rFonts w:cs="Arial"/>
                <w:i/>
                <w:iCs/>
                <w:sz w:val="18"/>
                <w:szCs w:val="18"/>
              </w:rPr>
              <w:t xml:space="preserve">Die internen Verfahren sehen die Anwendung des 4-Augen-Prinzips </w:t>
            </w:r>
            <w:r w:rsidR="002013A2">
              <w:rPr>
                <w:rFonts w:cs="Arial"/>
                <w:i/>
                <w:iCs/>
                <w:sz w:val="18"/>
                <w:szCs w:val="18"/>
              </w:rPr>
              <w:t>bzw.</w:t>
            </w:r>
            <w:r w:rsidRPr="00B3666B">
              <w:rPr>
                <w:rFonts w:cs="Arial"/>
                <w:i/>
                <w:iCs/>
                <w:sz w:val="18"/>
                <w:szCs w:val="18"/>
              </w:rPr>
              <w:t xml:space="preserve"> Funktionstrennung bei Schlüsselkontrollen vor</w:t>
            </w:r>
          </w:p>
          <w:p w14:paraId="4D08E2E4" w14:textId="324E07E6" w:rsidR="00802089" w:rsidRPr="00B3666B" w:rsidRDefault="002E0A0D" w:rsidP="00C37D08">
            <w:pPr>
              <w:pStyle w:val="Listenabsatz"/>
              <w:numPr>
                <w:ilvl w:val="1"/>
                <w:numId w:val="10"/>
              </w:numPr>
              <w:spacing w:line="259" w:lineRule="auto"/>
              <w:ind w:left="317" w:hanging="283"/>
              <w:jc w:val="both"/>
              <w:rPr>
                <w:i/>
                <w:iCs/>
                <w:sz w:val="18"/>
                <w:szCs w:val="18"/>
              </w:rPr>
            </w:pPr>
            <w:r>
              <w:rPr>
                <w:i/>
                <w:iCs/>
                <w:sz w:val="18"/>
                <w:szCs w:val="18"/>
              </w:rPr>
              <w:t>D</w:t>
            </w:r>
            <w:r w:rsidR="00802089" w:rsidRPr="00B3666B">
              <w:rPr>
                <w:i/>
                <w:iCs/>
                <w:sz w:val="18"/>
                <w:szCs w:val="18"/>
              </w:rPr>
              <w:t xml:space="preserve">atenqualitätssichernde </w:t>
            </w:r>
            <w:r w:rsidR="001D47B5">
              <w:rPr>
                <w:i/>
                <w:iCs/>
                <w:sz w:val="18"/>
                <w:szCs w:val="18"/>
              </w:rPr>
              <w:t>Kontrollen</w:t>
            </w:r>
            <w:r w:rsidR="001D47B5" w:rsidRPr="00B3666B">
              <w:rPr>
                <w:i/>
                <w:iCs/>
                <w:sz w:val="18"/>
                <w:szCs w:val="18"/>
              </w:rPr>
              <w:t xml:space="preserve"> </w:t>
            </w:r>
            <w:r>
              <w:rPr>
                <w:i/>
                <w:iCs/>
                <w:sz w:val="18"/>
                <w:szCs w:val="18"/>
              </w:rPr>
              <w:t>sind definiert</w:t>
            </w:r>
          </w:p>
          <w:p w14:paraId="4BDF14D6" w14:textId="77777777" w:rsidR="008676CE" w:rsidRPr="00B3666B" w:rsidRDefault="00762B17" w:rsidP="00C37D08">
            <w:pPr>
              <w:pStyle w:val="Listenabsatz"/>
              <w:numPr>
                <w:ilvl w:val="1"/>
                <w:numId w:val="6"/>
              </w:numPr>
              <w:ind w:left="317" w:hanging="283"/>
              <w:jc w:val="both"/>
              <w:rPr>
                <w:i/>
                <w:sz w:val="18"/>
                <w:szCs w:val="18"/>
              </w:rPr>
            </w:pPr>
            <w:r w:rsidRPr="00B3666B">
              <w:rPr>
                <w:rFonts w:cs="Arial"/>
                <w:i/>
                <w:iCs/>
                <w:sz w:val="18"/>
                <w:szCs w:val="18"/>
              </w:rPr>
              <w:t>Eine Kommunikationsstrategie ist definiert, welche die interne und externe Kommunikation sowie den Zeitraum vor und während der Abwicklung beinhaltet</w:t>
            </w:r>
          </w:p>
          <w:p w14:paraId="46698BB1" w14:textId="77777777" w:rsidR="00762B17" w:rsidRPr="00B3666B" w:rsidRDefault="00762B17" w:rsidP="00C37D08">
            <w:pPr>
              <w:pStyle w:val="Listenabsatz"/>
              <w:numPr>
                <w:ilvl w:val="1"/>
                <w:numId w:val="6"/>
              </w:numPr>
              <w:ind w:left="317" w:hanging="283"/>
              <w:jc w:val="both"/>
              <w:rPr>
                <w:rFonts w:cs="Arial"/>
                <w:i/>
                <w:iCs/>
                <w:sz w:val="18"/>
                <w:szCs w:val="18"/>
              </w:rPr>
            </w:pPr>
            <w:r w:rsidRPr="00B3666B">
              <w:rPr>
                <w:rFonts w:cs="Arial"/>
                <w:i/>
                <w:iCs/>
                <w:sz w:val="18"/>
                <w:szCs w:val="18"/>
              </w:rPr>
              <w:t>Es sind Verfahren zur Identifizierung von Abwicklungshindernissen definiert</w:t>
            </w:r>
          </w:p>
          <w:p w14:paraId="7CC09E48" w14:textId="77777777" w:rsidR="00762B17" w:rsidRPr="00E74823" w:rsidRDefault="00762B17" w:rsidP="00C37D08">
            <w:pPr>
              <w:pStyle w:val="Listenabsatz"/>
              <w:numPr>
                <w:ilvl w:val="1"/>
                <w:numId w:val="6"/>
              </w:numPr>
              <w:ind w:left="317" w:hanging="283"/>
              <w:jc w:val="both"/>
              <w:rPr>
                <w:i/>
                <w:iCs/>
                <w:sz w:val="18"/>
                <w:szCs w:val="18"/>
              </w:rPr>
            </w:pPr>
            <w:r w:rsidRPr="00B3666B">
              <w:rPr>
                <w:rFonts w:cs="Arial"/>
                <w:i/>
                <w:iCs/>
                <w:sz w:val="18"/>
                <w:szCs w:val="18"/>
              </w:rPr>
              <w:t>Im Falle von im Berichtsjahr identifizierten Abwicklungshindernissen, ist eine zeitnahe Kommunikation an die Abwicklungsbehörde erfolgt</w:t>
            </w:r>
          </w:p>
          <w:p w14:paraId="104CAE1E" w14:textId="08DC02F2" w:rsidR="00E74823" w:rsidRPr="00B3666B" w:rsidRDefault="00E74823" w:rsidP="00C37D08">
            <w:pPr>
              <w:pStyle w:val="Listenabsatz"/>
              <w:numPr>
                <w:ilvl w:val="1"/>
                <w:numId w:val="6"/>
              </w:numPr>
              <w:ind w:left="317" w:hanging="283"/>
              <w:jc w:val="both"/>
              <w:rPr>
                <w:i/>
                <w:iCs/>
                <w:sz w:val="18"/>
                <w:szCs w:val="18"/>
              </w:rPr>
            </w:pPr>
            <w:r w:rsidRPr="00BF5173">
              <w:rPr>
                <w:rFonts w:cs="Arial"/>
                <w:i/>
                <w:iCs/>
                <w:sz w:val="18"/>
                <w:szCs w:val="18"/>
              </w:rPr>
              <w:t xml:space="preserve">Es sind Verfahren zur Führung einer Liste der Finanzkontrakte definiert, welche die gemäss Anhang der </w:t>
            </w:r>
            <w:r>
              <w:rPr>
                <w:rFonts w:cs="Arial"/>
                <w:i/>
                <w:iCs/>
                <w:sz w:val="18"/>
                <w:szCs w:val="18"/>
              </w:rPr>
              <w:t>d</w:t>
            </w:r>
            <w:r w:rsidRPr="00BF5173">
              <w:rPr>
                <w:rFonts w:cs="Arial"/>
                <w:i/>
                <w:iCs/>
                <w:sz w:val="18"/>
                <w:szCs w:val="18"/>
              </w:rPr>
              <w:t>elVO 2016/1712 beschriebenen Angaben enthält.</w:t>
            </w:r>
          </w:p>
        </w:tc>
      </w:tr>
    </w:tbl>
    <w:p w14:paraId="289F06C0" w14:textId="6852DFE3" w:rsidR="00D27087" w:rsidRDefault="00D27087" w:rsidP="61EE8D92">
      <w:pPr>
        <w:pStyle w:val="FINMAGliederungEbene1"/>
        <w:numPr>
          <w:ilvl w:val="0"/>
          <w:numId w:val="0"/>
        </w:numPr>
      </w:pPr>
    </w:p>
    <w:p w14:paraId="79C944E6" w14:textId="5A2FDF36" w:rsidR="008F7659" w:rsidRDefault="008F7659" w:rsidP="00C37D08">
      <w:pPr>
        <w:pStyle w:val="FINMAGliederungEbene2"/>
      </w:pPr>
      <w:bookmarkStart w:id="29" w:name="_Toc147141453"/>
      <w:r>
        <w:t>Management Information System (MIS)</w:t>
      </w:r>
      <w:bookmarkEnd w:id="29"/>
    </w:p>
    <w:p w14:paraId="68B6FC5A" w14:textId="77777777" w:rsidR="008F7659" w:rsidRDefault="008F7659" w:rsidP="008F7659">
      <w:pPr>
        <w:pStyle w:val="FINMAGliederungEbene2"/>
        <w:numPr>
          <w:ilvl w:val="0"/>
          <w:numId w:val="0"/>
        </w:numPr>
        <w:ind w:left="576"/>
      </w:pPr>
    </w:p>
    <w:tbl>
      <w:tblPr>
        <w:tblStyle w:val="Tabellenraster"/>
        <w:tblpPr w:leftFromText="141" w:rightFromText="141" w:vertAnchor="text" w:tblpY="1"/>
        <w:tblOverlap w:val="never"/>
        <w:tblW w:w="0" w:type="auto"/>
        <w:tblLook w:val="04A0" w:firstRow="1" w:lastRow="0" w:firstColumn="1" w:lastColumn="0" w:noHBand="0" w:noVBand="1"/>
      </w:tblPr>
      <w:tblGrid>
        <w:gridCol w:w="417"/>
        <w:gridCol w:w="1653"/>
        <w:gridCol w:w="2145"/>
        <w:gridCol w:w="1721"/>
        <w:gridCol w:w="822"/>
        <w:gridCol w:w="2560"/>
      </w:tblGrid>
      <w:tr w:rsidR="008F7659" w:rsidRPr="009872F3" w14:paraId="4E3F2017" w14:textId="77777777" w:rsidTr="00272756">
        <w:trPr>
          <w:trHeight w:val="563"/>
        </w:trPr>
        <w:tc>
          <w:tcPr>
            <w:tcW w:w="2070" w:type="dxa"/>
            <w:gridSpan w:val="2"/>
            <w:shd w:val="clear" w:color="auto" w:fill="DBE5F1" w:themeFill="accent1" w:themeFillTint="33"/>
          </w:tcPr>
          <w:p w14:paraId="4EFBE861" w14:textId="77777777" w:rsidR="008F7659" w:rsidRPr="009872F3" w:rsidRDefault="008F7659" w:rsidP="00A62A63">
            <w:pPr>
              <w:jc w:val="both"/>
              <w:rPr>
                <w:rFonts w:ascii="Arial" w:hAnsi="Arial" w:cs="Arial"/>
                <w:sz w:val="18"/>
                <w:szCs w:val="18"/>
              </w:rPr>
            </w:pPr>
            <w:r w:rsidRPr="009872F3">
              <w:rPr>
                <w:rFonts w:ascii="Arial" w:hAnsi="Arial" w:cs="Arial"/>
                <w:sz w:val="18"/>
                <w:szCs w:val="18"/>
              </w:rPr>
              <w:t>Nettorisiko</w:t>
            </w:r>
          </w:p>
        </w:tc>
        <w:tc>
          <w:tcPr>
            <w:tcW w:w="2145" w:type="dxa"/>
            <w:shd w:val="clear" w:color="auto" w:fill="DBE5F1" w:themeFill="accent1" w:themeFillTint="33"/>
          </w:tcPr>
          <w:p w14:paraId="310EA95B" w14:textId="77777777" w:rsidR="008F7659" w:rsidRPr="009872F3" w:rsidRDefault="008F7659" w:rsidP="00A62A6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1A83D2EA" w14:textId="77777777" w:rsidR="008F7659" w:rsidRPr="009872F3" w:rsidRDefault="008F7659" w:rsidP="00A62A6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F7659" w:rsidRPr="009872F3" w14:paraId="5E3896A7" w14:textId="77777777" w:rsidTr="00272756">
        <w:trPr>
          <w:trHeight w:val="698"/>
        </w:trPr>
        <w:tc>
          <w:tcPr>
            <w:tcW w:w="2070" w:type="dxa"/>
            <w:gridSpan w:val="2"/>
            <w:shd w:val="clear" w:color="auto" w:fill="DBE5F1" w:themeFill="accent1" w:themeFillTint="33"/>
          </w:tcPr>
          <w:p w14:paraId="66BEFE53" w14:textId="77777777" w:rsidR="008F7659" w:rsidRPr="006749F0" w:rsidRDefault="008F7659" w:rsidP="00A62A6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482FAC8A" w14:textId="77777777" w:rsidR="008F7659" w:rsidRPr="006749F0" w:rsidRDefault="008F7659" w:rsidP="00A62A6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67FB03AC" w14:textId="77777777" w:rsidR="008F7659" w:rsidRPr="009872F3" w:rsidRDefault="008F7659" w:rsidP="00A62A6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23C8B9A6" w14:textId="77777777" w:rsidR="008F7659" w:rsidRDefault="008F7659" w:rsidP="00A62A6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686D8D0" w14:textId="77777777" w:rsidR="008F7659" w:rsidRPr="006749F0" w:rsidRDefault="008F7659" w:rsidP="00A62A63">
            <w:pPr>
              <w:jc w:val="both"/>
              <w:rPr>
                <w:rFonts w:ascii="Arial" w:hAnsi="Arial" w:cs="Arial"/>
                <w:i/>
                <w:sz w:val="18"/>
                <w:szCs w:val="18"/>
              </w:rPr>
            </w:pPr>
            <w:r w:rsidRPr="006749F0">
              <w:rPr>
                <w:rFonts w:ascii="Arial" w:hAnsi="Arial" w:cs="Arial"/>
                <w:i/>
                <w:sz w:val="18"/>
                <w:szCs w:val="18"/>
                <w:highlight w:val="yellow"/>
              </w:rPr>
              <w:t>Jahr</w:t>
            </w:r>
          </w:p>
        </w:tc>
      </w:tr>
      <w:tr w:rsidR="008F7659" w:rsidRPr="00E75BEB" w14:paraId="5197AA3A" w14:textId="77777777" w:rsidTr="00272756">
        <w:trPr>
          <w:trHeight w:val="636"/>
        </w:trPr>
        <w:tc>
          <w:tcPr>
            <w:tcW w:w="9318" w:type="dxa"/>
            <w:gridSpan w:val="6"/>
            <w:shd w:val="clear" w:color="auto" w:fill="DBE5F1" w:themeFill="accent1" w:themeFillTint="33"/>
          </w:tcPr>
          <w:p w14:paraId="78749CCD" w14:textId="77777777" w:rsidR="00521DAD" w:rsidRDefault="008F7659" w:rsidP="000B44E4">
            <w:pPr>
              <w:rPr>
                <w:rFonts w:ascii="Arial" w:hAnsi="Arial" w:cs="Arial"/>
                <w:i/>
                <w:sz w:val="18"/>
                <w:szCs w:val="18"/>
              </w:rPr>
            </w:pPr>
            <w:r w:rsidRPr="00DD758F">
              <w:rPr>
                <w:rFonts w:ascii="Arial" w:hAnsi="Arial" w:cs="Arial"/>
                <w:i/>
                <w:sz w:val="18"/>
                <w:szCs w:val="18"/>
              </w:rPr>
              <w:t>Referenzen (demonstrativ):</w:t>
            </w:r>
          </w:p>
          <w:p w14:paraId="14AC7B93" w14:textId="2CB04E7F" w:rsidR="00827926" w:rsidRDefault="00521DAD" w:rsidP="00521DAD">
            <w:pPr>
              <w:pStyle w:val="Listenabsatz"/>
              <w:numPr>
                <w:ilvl w:val="0"/>
                <w:numId w:val="9"/>
              </w:numPr>
              <w:ind w:left="308"/>
              <w:jc w:val="both"/>
              <w:rPr>
                <w:rFonts w:cs="Arial"/>
                <w:sz w:val="18"/>
                <w:szCs w:val="18"/>
              </w:rPr>
            </w:pPr>
            <w:r>
              <w:rPr>
                <w:rFonts w:cs="Arial"/>
                <w:sz w:val="18"/>
                <w:szCs w:val="18"/>
              </w:rPr>
              <w:t>D</w:t>
            </w:r>
            <w:r w:rsidR="00827926" w:rsidRPr="008165F5">
              <w:rPr>
                <w:rFonts w:cs="Arial"/>
                <w:sz w:val="18"/>
                <w:szCs w:val="18"/>
              </w:rPr>
              <w:t>elegierte Verordnung (EU) 2016/1401 im Hinblick auf technische Regulierungsstandards für Methoden und Grundsätze der Bewertung von aus Derivaten entstehenden Verbindlichkeiten</w:t>
            </w:r>
            <w:r w:rsidR="00827926">
              <w:rPr>
                <w:rFonts w:cs="Arial"/>
                <w:sz w:val="18"/>
                <w:szCs w:val="18"/>
              </w:rPr>
              <w:t xml:space="preserve"> (</w:t>
            </w:r>
            <w:proofErr w:type="spellStart"/>
            <w:r w:rsidR="000227C5">
              <w:rPr>
                <w:rFonts w:cs="Arial"/>
                <w:sz w:val="18"/>
                <w:szCs w:val="18"/>
              </w:rPr>
              <w:t>d</w:t>
            </w:r>
            <w:r w:rsidR="00827926">
              <w:rPr>
                <w:rFonts w:cs="Arial"/>
                <w:sz w:val="18"/>
                <w:szCs w:val="18"/>
              </w:rPr>
              <w:t>elVO</w:t>
            </w:r>
            <w:proofErr w:type="spellEnd"/>
            <w:r w:rsidR="00827926">
              <w:rPr>
                <w:rFonts w:cs="Arial"/>
                <w:sz w:val="18"/>
                <w:szCs w:val="18"/>
              </w:rPr>
              <w:t xml:space="preserve"> Derivate)</w:t>
            </w:r>
          </w:p>
          <w:p w14:paraId="1E2A9A76" w14:textId="23824396" w:rsidR="00DA033C" w:rsidRPr="002527F4" w:rsidRDefault="00DA033C" w:rsidP="00DA033C">
            <w:pPr>
              <w:pStyle w:val="Listenabsatz"/>
              <w:numPr>
                <w:ilvl w:val="0"/>
                <w:numId w:val="9"/>
              </w:numPr>
              <w:ind w:left="308"/>
              <w:jc w:val="both"/>
              <w:rPr>
                <w:rFonts w:cs="Arial"/>
                <w:sz w:val="18"/>
                <w:szCs w:val="18"/>
              </w:rPr>
            </w:pPr>
            <w:r w:rsidRPr="002527F4">
              <w:rPr>
                <w:rFonts w:cs="Arial"/>
                <w:sz w:val="18"/>
                <w:szCs w:val="18"/>
              </w:rPr>
              <w:t>Delegierte Verordnung (EU) 2018/344 der Kommission vom 14. November 2017 zur Ergänzung der Richtlinie 2014/59/EU des Europäischen Parlaments und des Rates im Hinblick auf technische Regulierungsstandards zur Festlegung der Kriterien für die Methoden zur Bewertung einer unterschiedlichen Behandlung bei der Abwicklung («delV</w:t>
            </w:r>
            <w:r w:rsidR="000227C5">
              <w:rPr>
                <w:rFonts w:cs="Arial"/>
                <w:sz w:val="18"/>
                <w:szCs w:val="18"/>
              </w:rPr>
              <w:t>O</w:t>
            </w:r>
            <w:r w:rsidRPr="002527F4">
              <w:rPr>
                <w:rFonts w:cs="Arial"/>
                <w:sz w:val="18"/>
                <w:szCs w:val="18"/>
              </w:rPr>
              <w:t xml:space="preserve"> Bewertung»)</w:t>
            </w:r>
          </w:p>
          <w:p w14:paraId="78B74AF9" w14:textId="31349245" w:rsidR="00827926" w:rsidRPr="00997881" w:rsidRDefault="00DA033C" w:rsidP="001812B4">
            <w:pPr>
              <w:pStyle w:val="Listenabsatz"/>
              <w:numPr>
                <w:ilvl w:val="0"/>
                <w:numId w:val="9"/>
              </w:numPr>
              <w:ind w:left="308"/>
              <w:jc w:val="both"/>
              <w:rPr>
                <w:rFonts w:cs="Arial"/>
                <w:sz w:val="18"/>
                <w:szCs w:val="18"/>
              </w:rPr>
            </w:pPr>
            <w:r w:rsidRPr="002527F4">
              <w:rPr>
                <w:rFonts w:cs="Arial"/>
                <w:sz w:val="18"/>
                <w:szCs w:val="18"/>
              </w:rPr>
              <w:t>Delegierte Verordnung (EU) 2018/345 der Kommission vom 14. November 2017 zur Ergänzung der Richtlinie 2014/59/EU des Europäischen Parlaments und des Rates durch technische Regulierungsstandards zur Präzisierung der Kriterien im Zusammenhang mit der Methode zur Bewertung der Vermögenswerte und Verbindlichkeiten von Instituten oder Unternehmen («delV</w:t>
            </w:r>
            <w:r w:rsidR="000227C5">
              <w:rPr>
                <w:rFonts w:cs="Arial"/>
                <w:sz w:val="18"/>
                <w:szCs w:val="18"/>
              </w:rPr>
              <w:t>O</w:t>
            </w:r>
            <w:r w:rsidRPr="002527F4">
              <w:rPr>
                <w:rFonts w:cs="Arial"/>
                <w:sz w:val="18"/>
                <w:szCs w:val="18"/>
              </w:rPr>
              <w:t xml:space="preserve"> Bewertung A/L»)</w:t>
            </w:r>
          </w:p>
          <w:p w14:paraId="2AC42194" w14:textId="77777777" w:rsidR="00827926" w:rsidRPr="00997881" w:rsidRDefault="00827926" w:rsidP="00827926">
            <w:pPr>
              <w:pStyle w:val="Listenabsatz"/>
              <w:numPr>
                <w:ilvl w:val="0"/>
                <w:numId w:val="9"/>
              </w:numPr>
              <w:ind w:left="308"/>
              <w:jc w:val="both"/>
              <w:rPr>
                <w:rFonts w:cs="Arial"/>
                <w:sz w:val="18"/>
                <w:szCs w:val="18"/>
              </w:rPr>
            </w:pPr>
            <w:r w:rsidRPr="00997881">
              <w:rPr>
                <w:rFonts w:cs="Arial"/>
                <w:sz w:val="18"/>
                <w:szCs w:val="18"/>
              </w:rPr>
              <w:t>EBA Leitlinien zur Verbesserung der Abwicklungsfähigkeit für Institute und Abwicklungsbehörden</w:t>
            </w:r>
          </w:p>
          <w:p w14:paraId="4148ECA1" w14:textId="77777777" w:rsidR="00827926" w:rsidRPr="0096765A" w:rsidRDefault="00827926" w:rsidP="00827926">
            <w:pPr>
              <w:pStyle w:val="Listenabsatz"/>
              <w:ind w:left="308"/>
              <w:jc w:val="both"/>
              <w:rPr>
                <w:rFonts w:cs="Arial"/>
                <w:sz w:val="18"/>
                <w:szCs w:val="18"/>
                <w:lang w:val="en-US"/>
              </w:rPr>
            </w:pPr>
            <w:r w:rsidRPr="0096765A">
              <w:rPr>
                <w:rFonts w:cs="Arial"/>
                <w:sz w:val="18"/>
                <w:szCs w:val="18"/>
                <w:lang w:val="en-US"/>
              </w:rPr>
              <w:t>(Resolvability Guidelines; EBA/GL/2022/01)</w:t>
            </w:r>
          </w:p>
          <w:p w14:paraId="1093A84A" w14:textId="77777777" w:rsidR="00827926" w:rsidRDefault="00827926" w:rsidP="00827926">
            <w:pPr>
              <w:pStyle w:val="Listenabsatz"/>
              <w:ind w:left="308"/>
              <w:jc w:val="both"/>
              <w:rPr>
                <w:rFonts w:cs="Arial"/>
                <w:sz w:val="18"/>
                <w:szCs w:val="18"/>
                <w:lang w:val="en-US"/>
              </w:rPr>
            </w:pPr>
            <w:r w:rsidRPr="00543B51">
              <w:rPr>
                <w:rFonts w:cs="Arial"/>
                <w:sz w:val="18"/>
                <w:szCs w:val="18"/>
                <w:lang w:val="en-US"/>
              </w:rPr>
              <w:t>EBA Valuation Handbook (“Handbook of valuation for purposes of resolution”)</w:t>
            </w:r>
          </w:p>
          <w:p w14:paraId="4E2DE42E" w14:textId="09FD2F31" w:rsidR="00E75BEB" w:rsidRPr="0096765A" w:rsidRDefault="00E75BEB" w:rsidP="0096765A">
            <w:pPr>
              <w:pStyle w:val="Listenabsatz"/>
              <w:numPr>
                <w:ilvl w:val="0"/>
                <w:numId w:val="9"/>
              </w:numPr>
              <w:ind w:left="308"/>
              <w:jc w:val="both"/>
              <w:rPr>
                <w:rFonts w:cs="Arial"/>
                <w:sz w:val="18"/>
                <w:szCs w:val="18"/>
              </w:rPr>
            </w:pPr>
            <w:r w:rsidRPr="00997881">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8F7659" w:rsidRPr="00E75BEB" w14:paraId="04266C09" w14:textId="77777777" w:rsidTr="00272756">
        <w:trPr>
          <w:trHeight w:val="294"/>
        </w:trPr>
        <w:tc>
          <w:tcPr>
            <w:tcW w:w="9318" w:type="dxa"/>
            <w:gridSpan w:val="6"/>
          </w:tcPr>
          <w:p w14:paraId="426A5407" w14:textId="77777777" w:rsidR="008F7659" w:rsidRPr="00E75BEB" w:rsidRDefault="008F7659" w:rsidP="00A62A63">
            <w:pPr>
              <w:jc w:val="both"/>
              <w:rPr>
                <w:rFonts w:ascii="Arial" w:hAnsi="Arial" w:cs="Arial"/>
                <w:sz w:val="18"/>
                <w:szCs w:val="18"/>
              </w:rPr>
            </w:pPr>
          </w:p>
        </w:tc>
      </w:tr>
      <w:tr w:rsidR="00272756" w:rsidRPr="009872F3" w14:paraId="6E9DC3ED" w14:textId="77777777" w:rsidTr="00272756">
        <w:trPr>
          <w:trHeight w:val="294"/>
        </w:trPr>
        <w:tc>
          <w:tcPr>
            <w:tcW w:w="417" w:type="dxa"/>
          </w:tcPr>
          <w:p w14:paraId="392A5CDF" w14:textId="18C7A323" w:rsidR="00272756" w:rsidRDefault="00272756" w:rsidP="00272756">
            <w:pPr>
              <w:jc w:val="both"/>
              <w:rPr>
                <w:rFonts w:ascii="Arial" w:hAnsi="Arial" w:cs="Arial"/>
                <w:sz w:val="18"/>
                <w:szCs w:val="18"/>
              </w:rPr>
            </w:pPr>
            <w:r>
              <w:rPr>
                <w:rFonts w:ascii="Arial" w:hAnsi="Arial" w:cs="Arial"/>
                <w:sz w:val="18"/>
                <w:szCs w:val="18"/>
              </w:rPr>
              <w:t>1</w:t>
            </w:r>
          </w:p>
        </w:tc>
        <w:tc>
          <w:tcPr>
            <w:tcW w:w="6341" w:type="dxa"/>
            <w:gridSpan w:val="4"/>
          </w:tcPr>
          <w:p w14:paraId="2939B0ED" w14:textId="7A709830" w:rsidR="00272756" w:rsidRPr="00CB06D0" w:rsidRDefault="00272756" w:rsidP="00272756">
            <w:pPr>
              <w:jc w:val="both"/>
              <w:rPr>
                <w:rFonts w:ascii="Arial" w:hAnsi="Arial" w:cs="Arial"/>
                <w:sz w:val="18"/>
                <w:szCs w:val="18"/>
              </w:rPr>
            </w:pPr>
            <w:r>
              <w:rPr>
                <w:rFonts w:ascii="Arial" w:hAnsi="Arial" w:cs="Arial"/>
                <w:sz w:val="18"/>
                <w:szCs w:val="18"/>
              </w:rPr>
              <w:t xml:space="preserve">Bestätigung, dass die internen Verfahren eine angemessene Dateninfrastruktur </w:t>
            </w:r>
            <w:r w:rsidRPr="06D9602D">
              <w:rPr>
                <w:rFonts w:ascii="Arial" w:hAnsi="Arial" w:cs="Arial"/>
                <w:sz w:val="18"/>
                <w:szCs w:val="18"/>
              </w:rPr>
              <w:t>ermöglichen</w:t>
            </w:r>
            <w:r>
              <w:rPr>
                <w:rFonts w:ascii="Arial" w:hAnsi="Arial" w:cs="Arial"/>
                <w:sz w:val="18"/>
                <w:szCs w:val="18"/>
              </w:rPr>
              <w:t xml:space="preserve">, welche die erforderlichen Informationen für die Umsetzung der Abwicklungsinstrumente gemäss EBA/GL/2022/01 enthält (inkl. Informationen über das Eigentum an Vermögenswerten und Infrastruktur, die Preisgestaltung, vertragliche Rechte und Vereinbarungen, sowie Auslagerungsvereinbarungen). </w:t>
            </w:r>
          </w:p>
        </w:tc>
        <w:tc>
          <w:tcPr>
            <w:tcW w:w="2560" w:type="dxa"/>
          </w:tcPr>
          <w:p w14:paraId="25454CBD" w14:textId="4C8B73AE" w:rsidR="00272756" w:rsidRPr="00E109DF" w:rsidRDefault="00272756" w:rsidP="0027275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800CF" w:rsidRPr="009872F3" w14:paraId="6811CA1F" w14:textId="77777777" w:rsidTr="00272756">
        <w:trPr>
          <w:trHeight w:val="294"/>
        </w:trPr>
        <w:tc>
          <w:tcPr>
            <w:tcW w:w="417" w:type="dxa"/>
          </w:tcPr>
          <w:p w14:paraId="141EA8DB" w14:textId="01C5CB93" w:rsidR="00272756" w:rsidRDefault="00272756" w:rsidP="00272756">
            <w:pPr>
              <w:jc w:val="both"/>
              <w:rPr>
                <w:rFonts w:ascii="Arial" w:hAnsi="Arial" w:cs="Arial"/>
                <w:sz w:val="18"/>
                <w:szCs w:val="18"/>
              </w:rPr>
            </w:pPr>
          </w:p>
          <w:p w14:paraId="0E9837B7" w14:textId="7740889C" w:rsidR="007800CF" w:rsidRPr="009872F3" w:rsidRDefault="00272756" w:rsidP="00A62A63">
            <w:pPr>
              <w:jc w:val="both"/>
              <w:rPr>
                <w:rFonts w:ascii="Arial" w:hAnsi="Arial" w:cs="Arial"/>
                <w:sz w:val="18"/>
                <w:szCs w:val="18"/>
              </w:rPr>
            </w:pPr>
            <w:r>
              <w:rPr>
                <w:rFonts w:ascii="Arial" w:hAnsi="Arial" w:cs="Arial"/>
                <w:sz w:val="18"/>
                <w:szCs w:val="18"/>
              </w:rPr>
              <w:t>2</w:t>
            </w:r>
          </w:p>
        </w:tc>
        <w:tc>
          <w:tcPr>
            <w:tcW w:w="6341" w:type="dxa"/>
            <w:gridSpan w:val="4"/>
          </w:tcPr>
          <w:p w14:paraId="009E2E4B" w14:textId="7E0F2BD0" w:rsidR="007800CF" w:rsidRPr="009872F3" w:rsidRDefault="00D40400" w:rsidP="00A62A63">
            <w:pPr>
              <w:jc w:val="both"/>
              <w:rPr>
                <w:rFonts w:ascii="Arial" w:hAnsi="Arial" w:cs="Arial"/>
                <w:sz w:val="18"/>
                <w:szCs w:val="18"/>
              </w:rPr>
            </w:pPr>
            <w:r w:rsidRPr="00CB06D0">
              <w:rPr>
                <w:rFonts w:ascii="Arial" w:hAnsi="Arial" w:cs="Arial"/>
                <w:sz w:val="18"/>
                <w:szCs w:val="18"/>
              </w:rPr>
              <w:t xml:space="preserve">Bestätigung, dass </w:t>
            </w:r>
            <w:r>
              <w:rPr>
                <w:rFonts w:ascii="Arial" w:hAnsi="Arial" w:cs="Arial"/>
                <w:sz w:val="18"/>
                <w:szCs w:val="18"/>
              </w:rPr>
              <w:t xml:space="preserve">die internen Verfahren auch in Krisenzeiten ein angemessenes Management Information System (MIS) </w:t>
            </w:r>
            <w:r w:rsidR="007C6380">
              <w:rPr>
                <w:rFonts w:ascii="Arial" w:hAnsi="Arial" w:cs="Arial"/>
                <w:sz w:val="18"/>
                <w:szCs w:val="18"/>
              </w:rPr>
              <w:t>ermöglichen</w:t>
            </w:r>
            <w:r w:rsidR="00812D1C">
              <w:rPr>
                <w:rFonts w:ascii="Arial" w:hAnsi="Arial" w:cs="Arial"/>
                <w:sz w:val="18"/>
                <w:szCs w:val="18"/>
              </w:rPr>
              <w:t>,</w:t>
            </w:r>
            <w:r w:rsidR="00543B51">
              <w:rPr>
                <w:rFonts w:ascii="Arial" w:hAnsi="Arial" w:cs="Arial"/>
                <w:sz w:val="18"/>
                <w:szCs w:val="18"/>
              </w:rPr>
              <w:t xml:space="preserve"> </w:t>
            </w:r>
            <w:r w:rsidR="009B1BAB">
              <w:rPr>
                <w:rFonts w:ascii="Arial" w:hAnsi="Arial" w:cs="Arial"/>
                <w:sz w:val="18"/>
                <w:szCs w:val="18"/>
              </w:rPr>
              <w:t>welches</w:t>
            </w:r>
            <w:r w:rsidR="00543B51">
              <w:rPr>
                <w:rFonts w:ascii="Arial" w:hAnsi="Arial" w:cs="Arial"/>
                <w:sz w:val="18"/>
                <w:szCs w:val="18"/>
              </w:rPr>
              <w:t xml:space="preserve"> </w:t>
            </w:r>
            <w:r w:rsidR="00812D1C">
              <w:rPr>
                <w:rFonts w:ascii="Arial" w:hAnsi="Arial" w:cs="Arial"/>
                <w:sz w:val="18"/>
                <w:szCs w:val="18"/>
              </w:rPr>
              <w:t>die Abwick</w:t>
            </w:r>
            <w:r w:rsidR="00C65E7D">
              <w:rPr>
                <w:rFonts w:ascii="Arial" w:hAnsi="Arial" w:cs="Arial"/>
                <w:sz w:val="18"/>
                <w:szCs w:val="18"/>
              </w:rPr>
              <w:t>l</w:t>
            </w:r>
            <w:r w:rsidR="00812D1C">
              <w:rPr>
                <w:rFonts w:ascii="Arial" w:hAnsi="Arial" w:cs="Arial"/>
                <w:sz w:val="18"/>
                <w:szCs w:val="18"/>
              </w:rPr>
              <w:t>ungsbehörde</w:t>
            </w:r>
            <w:r w:rsidR="00C65E7D">
              <w:rPr>
                <w:rFonts w:ascii="Arial" w:hAnsi="Arial" w:cs="Arial"/>
                <w:sz w:val="18"/>
                <w:szCs w:val="18"/>
              </w:rPr>
              <w:t xml:space="preserve"> </w:t>
            </w:r>
            <w:r w:rsidR="00124D1B">
              <w:rPr>
                <w:rFonts w:ascii="Arial" w:hAnsi="Arial" w:cs="Arial"/>
                <w:sz w:val="18"/>
                <w:szCs w:val="18"/>
              </w:rPr>
              <w:t xml:space="preserve">in </w:t>
            </w:r>
            <w:r w:rsidR="00204033">
              <w:rPr>
                <w:rFonts w:ascii="Arial" w:hAnsi="Arial" w:cs="Arial"/>
                <w:sz w:val="18"/>
                <w:szCs w:val="18"/>
              </w:rPr>
              <w:t xml:space="preserve">angemessener Frist </w:t>
            </w:r>
            <w:r w:rsidR="00812D1C">
              <w:rPr>
                <w:rFonts w:ascii="Arial" w:hAnsi="Arial" w:cs="Arial"/>
                <w:sz w:val="18"/>
                <w:szCs w:val="18"/>
              </w:rPr>
              <w:t xml:space="preserve">mit </w:t>
            </w:r>
            <w:r w:rsidR="00272756">
              <w:rPr>
                <w:rFonts w:ascii="Arial" w:hAnsi="Arial" w:cs="Arial"/>
                <w:sz w:val="18"/>
                <w:szCs w:val="18"/>
              </w:rPr>
              <w:t>relevanten Informationen</w:t>
            </w:r>
            <w:r w:rsidR="003E0AB3">
              <w:rPr>
                <w:rFonts w:ascii="Arial" w:hAnsi="Arial" w:cs="Arial"/>
                <w:sz w:val="18"/>
                <w:szCs w:val="18"/>
              </w:rPr>
              <w:t xml:space="preserve"> (inkl. Informationen über das Eigentum an Vermögenswerten und Infrastruktur, die Preisgestaltung, vertragliche Rechte und Vereinbarungen, sowie Auslagerungsvereinbarungen)</w:t>
            </w:r>
            <w:r w:rsidR="00812D1C">
              <w:rPr>
                <w:rFonts w:ascii="Arial" w:hAnsi="Arial" w:cs="Arial"/>
                <w:sz w:val="18"/>
                <w:szCs w:val="18"/>
              </w:rPr>
              <w:t xml:space="preserve"> vor </w:t>
            </w:r>
            <w:r w:rsidR="005E6FC3">
              <w:rPr>
                <w:rFonts w:ascii="Arial" w:hAnsi="Arial" w:cs="Arial"/>
                <w:sz w:val="18"/>
                <w:szCs w:val="18"/>
              </w:rPr>
              <w:t xml:space="preserve">und </w:t>
            </w:r>
            <w:r w:rsidR="00812D1C">
              <w:rPr>
                <w:rFonts w:ascii="Arial" w:hAnsi="Arial" w:cs="Arial"/>
                <w:sz w:val="18"/>
                <w:szCs w:val="18"/>
              </w:rPr>
              <w:t xml:space="preserve">während der </w:t>
            </w:r>
            <w:r w:rsidR="00C65E7D">
              <w:rPr>
                <w:rFonts w:ascii="Arial" w:hAnsi="Arial" w:cs="Arial"/>
                <w:sz w:val="18"/>
                <w:szCs w:val="18"/>
              </w:rPr>
              <w:t>Abwicklung versorg</w:t>
            </w:r>
            <w:r w:rsidR="00543B51">
              <w:rPr>
                <w:rFonts w:ascii="Arial" w:hAnsi="Arial" w:cs="Arial"/>
                <w:sz w:val="18"/>
                <w:szCs w:val="18"/>
              </w:rPr>
              <w:t>en kann</w:t>
            </w:r>
            <w:r w:rsidR="00C65E7D">
              <w:rPr>
                <w:rFonts w:ascii="Arial" w:hAnsi="Arial" w:cs="Arial"/>
                <w:sz w:val="18"/>
                <w:szCs w:val="18"/>
              </w:rPr>
              <w:t>.</w:t>
            </w:r>
          </w:p>
        </w:tc>
        <w:tc>
          <w:tcPr>
            <w:tcW w:w="2560" w:type="dxa"/>
          </w:tcPr>
          <w:p w14:paraId="506FB223" w14:textId="652B0A29" w:rsidR="007800CF" w:rsidRPr="009872F3" w:rsidRDefault="007800CF" w:rsidP="00A62A6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F6ADA38" w14:textId="77777777" w:rsidR="008F7659" w:rsidRDefault="008F7659" w:rsidP="009A53E3">
      <w:pPr>
        <w:pStyle w:val="FINMAGliederungEbene2"/>
        <w:numPr>
          <w:ilvl w:val="1"/>
          <w:numId w:val="0"/>
        </w:numPr>
      </w:pPr>
    </w:p>
    <w:tbl>
      <w:tblPr>
        <w:tblStyle w:val="Tabellenraster"/>
        <w:tblW w:w="0" w:type="auto"/>
        <w:tblLook w:val="04A0" w:firstRow="1" w:lastRow="0" w:firstColumn="1" w:lastColumn="0" w:noHBand="0" w:noVBand="1"/>
      </w:tblPr>
      <w:tblGrid>
        <w:gridCol w:w="1980"/>
        <w:gridCol w:w="7371"/>
      </w:tblGrid>
      <w:tr w:rsidR="009A53E3" w:rsidRPr="00DA7E95" w14:paraId="6F564BF9" w14:textId="77777777" w:rsidTr="5BDDCDE6">
        <w:trPr>
          <w:trHeight w:val="300"/>
        </w:trPr>
        <w:tc>
          <w:tcPr>
            <w:tcW w:w="1980" w:type="dxa"/>
          </w:tcPr>
          <w:p w14:paraId="6198AC12" w14:textId="77777777" w:rsidR="009A53E3" w:rsidRPr="00DA7E95" w:rsidRDefault="009A53E3" w:rsidP="00387D17">
            <w:pPr>
              <w:jc w:val="both"/>
              <w:rPr>
                <w:rFonts w:ascii="Arial" w:hAnsi="Arial" w:cs="Arial"/>
                <w:b/>
                <w:bCs/>
                <w:i/>
                <w:iCs/>
                <w:sz w:val="18"/>
                <w:szCs w:val="18"/>
              </w:rPr>
            </w:pPr>
            <w:r w:rsidRPr="00DA7E95">
              <w:rPr>
                <w:rFonts w:ascii="Arial" w:hAnsi="Arial" w:cs="Arial"/>
                <w:b/>
                <w:bCs/>
                <w:i/>
                <w:iCs/>
                <w:sz w:val="18"/>
                <w:szCs w:val="18"/>
              </w:rPr>
              <w:t>Prüfelemente</w:t>
            </w:r>
          </w:p>
        </w:tc>
        <w:tc>
          <w:tcPr>
            <w:tcW w:w="7371" w:type="dxa"/>
          </w:tcPr>
          <w:p w14:paraId="390E2961" w14:textId="77777777" w:rsidR="009A53E3" w:rsidRPr="00DA7E95" w:rsidRDefault="009A53E3" w:rsidP="00387D17">
            <w:pPr>
              <w:jc w:val="both"/>
              <w:rPr>
                <w:rFonts w:ascii="Arial" w:hAnsi="Arial" w:cs="Arial"/>
                <w:b/>
                <w:bCs/>
                <w:i/>
                <w:iCs/>
                <w:sz w:val="18"/>
                <w:szCs w:val="18"/>
              </w:rPr>
            </w:pPr>
            <w:r w:rsidRPr="00DA7E95">
              <w:rPr>
                <w:rFonts w:ascii="Arial" w:hAnsi="Arial" w:cs="Arial"/>
                <w:b/>
                <w:bCs/>
                <w:i/>
                <w:iCs/>
                <w:sz w:val="18"/>
                <w:szCs w:val="18"/>
              </w:rPr>
              <w:t>Mindestprüfinhalte («Muster»)</w:t>
            </w:r>
          </w:p>
        </w:tc>
      </w:tr>
      <w:tr w:rsidR="00E922A6" w:rsidRPr="00DA7E95" w14:paraId="4D42BD49" w14:textId="77777777" w:rsidTr="5BDDCDE6">
        <w:trPr>
          <w:trHeight w:val="300"/>
        </w:trPr>
        <w:tc>
          <w:tcPr>
            <w:tcW w:w="1980" w:type="dxa"/>
          </w:tcPr>
          <w:p w14:paraId="57505F35" w14:textId="3FD62CFD" w:rsidR="00E922A6" w:rsidRPr="00DA7E95" w:rsidRDefault="00E922A6" w:rsidP="00387D17">
            <w:pPr>
              <w:spacing w:line="259" w:lineRule="auto"/>
              <w:jc w:val="both"/>
              <w:rPr>
                <w:rFonts w:ascii="Arial" w:hAnsi="Arial" w:cs="Arial"/>
                <w:i/>
                <w:iCs/>
                <w:sz w:val="18"/>
                <w:szCs w:val="18"/>
              </w:rPr>
            </w:pPr>
            <w:r>
              <w:rPr>
                <w:rFonts w:ascii="Arial" w:hAnsi="Arial" w:cs="Arial"/>
                <w:i/>
                <w:iCs/>
                <w:sz w:val="18"/>
                <w:szCs w:val="18"/>
              </w:rPr>
              <w:lastRenderedPageBreak/>
              <w:t xml:space="preserve">Interne Organisation </w:t>
            </w:r>
          </w:p>
        </w:tc>
        <w:tc>
          <w:tcPr>
            <w:tcW w:w="7371" w:type="dxa"/>
          </w:tcPr>
          <w:p w14:paraId="595A8E3A" w14:textId="09E3CF27" w:rsidR="00E922A6" w:rsidRDefault="00E922A6" w:rsidP="00C37D08">
            <w:pPr>
              <w:pStyle w:val="Listenabsatz"/>
              <w:numPr>
                <w:ilvl w:val="1"/>
                <w:numId w:val="6"/>
              </w:numPr>
              <w:spacing w:line="259" w:lineRule="auto"/>
              <w:ind w:left="317" w:hanging="283"/>
              <w:jc w:val="both"/>
              <w:rPr>
                <w:rFonts w:cs="Arial"/>
                <w:i/>
                <w:iCs/>
                <w:sz w:val="18"/>
                <w:szCs w:val="18"/>
              </w:rPr>
            </w:pPr>
            <w:r w:rsidRPr="00C3378F">
              <w:rPr>
                <w:rFonts w:cs="Arial"/>
                <w:i/>
                <w:iCs/>
                <w:sz w:val="18"/>
                <w:szCs w:val="18"/>
              </w:rPr>
              <w:t>Die interne Organisationsstruktur (z.B.</w:t>
            </w:r>
            <w:r w:rsidR="006E1207">
              <w:rPr>
                <w:rFonts w:cs="Arial"/>
                <w:i/>
                <w:iCs/>
                <w:sz w:val="18"/>
                <w:szCs w:val="18"/>
              </w:rPr>
              <w:t xml:space="preserve"> t</w:t>
            </w:r>
            <w:r w:rsidRPr="00685831">
              <w:rPr>
                <w:rFonts w:cs="Arial"/>
                <w:i/>
                <w:iCs/>
                <w:sz w:val="18"/>
                <w:szCs w:val="18"/>
              </w:rPr>
              <w:t>echnische</w:t>
            </w:r>
            <w:r w:rsidR="006E1207">
              <w:rPr>
                <w:rFonts w:cs="Arial"/>
                <w:i/>
                <w:iCs/>
                <w:sz w:val="18"/>
                <w:szCs w:val="18"/>
              </w:rPr>
              <w:t xml:space="preserve">, </w:t>
            </w:r>
            <w:r w:rsidRPr="00685831">
              <w:rPr>
                <w:rFonts w:cs="Arial"/>
                <w:i/>
                <w:iCs/>
                <w:sz w:val="18"/>
                <w:szCs w:val="18"/>
              </w:rPr>
              <w:t>personelle und fachliche Ressourcen</w:t>
            </w:r>
            <w:r w:rsidR="006E1207">
              <w:rPr>
                <w:rFonts w:cs="Arial"/>
                <w:i/>
                <w:iCs/>
                <w:sz w:val="18"/>
                <w:szCs w:val="18"/>
              </w:rPr>
              <w:t xml:space="preserve"> sowie IT-Systeme</w:t>
            </w:r>
            <w:r w:rsidRPr="00685831">
              <w:rPr>
                <w:rFonts w:cs="Arial"/>
                <w:i/>
                <w:iCs/>
                <w:sz w:val="18"/>
                <w:szCs w:val="18"/>
              </w:rPr>
              <w:t xml:space="preserve">) </w:t>
            </w:r>
            <w:r w:rsidR="000D5A91">
              <w:rPr>
                <w:rFonts w:cs="Arial"/>
                <w:i/>
                <w:iCs/>
                <w:sz w:val="18"/>
                <w:szCs w:val="18"/>
              </w:rPr>
              <w:t xml:space="preserve">stellt </w:t>
            </w:r>
            <w:r w:rsidR="00266A05">
              <w:rPr>
                <w:rFonts w:cs="Arial"/>
                <w:i/>
                <w:iCs/>
                <w:sz w:val="18"/>
                <w:szCs w:val="18"/>
              </w:rPr>
              <w:t xml:space="preserve">das dauernde Funktionieren eines angemessenen MIS </w:t>
            </w:r>
            <w:r w:rsidR="00AD3645">
              <w:rPr>
                <w:rFonts w:cs="Arial"/>
                <w:i/>
                <w:iCs/>
                <w:sz w:val="18"/>
                <w:szCs w:val="18"/>
              </w:rPr>
              <w:t xml:space="preserve">auch in Abwicklungszeiten </w:t>
            </w:r>
            <w:r w:rsidR="00266A05">
              <w:rPr>
                <w:rFonts w:cs="Arial"/>
                <w:i/>
                <w:iCs/>
                <w:sz w:val="18"/>
                <w:szCs w:val="18"/>
              </w:rPr>
              <w:t>sicher</w:t>
            </w:r>
          </w:p>
          <w:p w14:paraId="41614FE4" w14:textId="5CF08A87" w:rsidR="00827926" w:rsidRPr="00DA7E95" w:rsidRDefault="00786028" w:rsidP="000B44E4">
            <w:pPr>
              <w:pStyle w:val="Listenabsatz"/>
              <w:numPr>
                <w:ilvl w:val="1"/>
                <w:numId w:val="6"/>
              </w:numPr>
              <w:spacing w:line="259" w:lineRule="auto"/>
              <w:ind w:left="317" w:hanging="283"/>
              <w:jc w:val="both"/>
              <w:rPr>
                <w:rFonts w:cs="Arial"/>
                <w:i/>
                <w:iCs/>
                <w:sz w:val="18"/>
                <w:szCs w:val="18"/>
              </w:rPr>
            </w:pPr>
            <w:r>
              <w:rPr>
                <w:rFonts w:cs="Arial"/>
                <w:i/>
                <w:iCs/>
                <w:sz w:val="18"/>
                <w:szCs w:val="18"/>
              </w:rPr>
              <w:t xml:space="preserve">Es besteht eine angemessene </w:t>
            </w:r>
            <w:r w:rsidR="001E79F3">
              <w:rPr>
                <w:rFonts w:cs="Arial"/>
                <w:i/>
                <w:iCs/>
                <w:sz w:val="18"/>
                <w:szCs w:val="18"/>
              </w:rPr>
              <w:t>Dateninfrastruktur</w:t>
            </w:r>
            <w:r w:rsidR="004F333F">
              <w:rPr>
                <w:rFonts w:cs="Arial"/>
                <w:i/>
                <w:iCs/>
                <w:sz w:val="18"/>
                <w:szCs w:val="18"/>
              </w:rPr>
              <w:t xml:space="preserve">, </w:t>
            </w:r>
            <w:r>
              <w:rPr>
                <w:rFonts w:cs="Arial"/>
                <w:i/>
                <w:iCs/>
                <w:sz w:val="18"/>
                <w:szCs w:val="18"/>
              </w:rPr>
              <w:t xml:space="preserve">welche </w:t>
            </w:r>
            <w:r w:rsidR="004F333F">
              <w:rPr>
                <w:rFonts w:cs="Arial"/>
                <w:i/>
                <w:iCs/>
                <w:sz w:val="18"/>
                <w:szCs w:val="18"/>
              </w:rPr>
              <w:t xml:space="preserve">unter anderem </w:t>
            </w:r>
            <w:r w:rsidR="004D4AB5" w:rsidRPr="00DA7E95">
              <w:rPr>
                <w:rFonts w:cs="Arial"/>
                <w:i/>
                <w:iCs/>
                <w:sz w:val="18"/>
                <w:szCs w:val="18"/>
              </w:rPr>
              <w:t xml:space="preserve">Informationen über </w:t>
            </w:r>
            <w:r w:rsidR="00977D14" w:rsidRPr="008C2875">
              <w:rPr>
                <w:rFonts w:cs="Arial"/>
                <w:i/>
                <w:sz w:val="18"/>
                <w:szCs w:val="18"/>
              </w:rPr>
              <w:t xml:space="preserve">die betriebenen </w:t>
            </w:r>
            <w:r w:rsidR="00204033" w:rsidRPr="008C2875">
              <w:rPr>
                <w:rFonts w:cs="Arial"/>
                <w:i/>
                <w:iCs/>
                <w:sz w:val="18"/>
                <w:szCs w:val="18"/>
              </w:rPr>
              <w:t>Service-</w:t>
            </w:r>
            <w:r w:rsidR="00977D14" w:rsidRPr="008C2875">
              <w:rPr>
                <w:rFonts w:cs="Arial"/>
                <w:i/>
                <w:sz w:val="18"/>
                <w:szCs w:val="18"/>
              </w:rPr>
              <w:t>Dienstleistungen</w:t>
            </w:r>
            <w:r w:rsidR="00977D14">
              <w:rPr>
                <w:rFonts w:cs="Arial"/>
                <w:i/>
                <w:iCs/>
                <w:sz w:val="18"/>
                <w:szCs w:val="18"/>
              </w:rPr>
              <w:t xml:space="preserve">, </w:t>
            </w:r>
            <w:r w:rsidR="004D4AB5" w:rsidRPr="00DA7E95">
              <w:rPr>
                <w:rFonts w:cs="Arial"/>
                <w:i/>
                <w:iCs/>
                <w:sz w:val="18"/>
                <w:szCs w:val="18"/>
              </w:rPr>
              <w:t>das Eigentum an Vermögenswerten und Infrastruktur, die Preisgestaltung, vertragliche Rechte und Vereinbarungen sowie Auslagerungsvereinbarungen</w:t>
            </w:r>
            <w:r w:rsidR="004F333F">
              <w:rPr>
                <w:rFonts w:cs="Arial"/>
                <w:i/>
                <w:iCs/>
                <w:sz w:val="18"/>
                <w:szCs w:val="18"/>
              </w:rPr>
              <w:t xml:space="preserve"> enthält</w:t>
            </w:r>
            <w:r w:rsidR="00041637">
              <w:rPr>
                <w:rFonts w:cs="Arial"/>
                <w:i/>
                <w:iCs/>
                <w:sz w:val="18"/>
                <w:szCs w:val="18"/>
              </w:rPr>
              <w:t xml:space="preserve"> («Leistungskatalog»)</w:t>
            </w:r>
          </w:p>
        </w:tc>
      </w:tr>
      <w:tr w:rsidR="00E922A6" w:rsidRPr="00DA7E95" w14:paraId="291AD886" w14:textId="77777777" w:rsidTr="5BDDCDE6">
        <w:trPr>
          <w:trHeight w:val="300"/>
        </w:trPr>
        <w:tc>
          <w:tcPr>
            <w:tcW w:w="1980" w:type="dxa"/>
          </w:tcPr>
          <w:p w14:paraId="4945011B" w14:textId="617F4F20" w:rsidR="00E922A6" w:rsidRPr="00DA7E95" w:rsidRDefault="00266A05" w:rsidP="00387D17">
            <w:pPr>
              <w:spacing w:line="259" w:lineRule="auto"/>
              <w:jc w:val="both"/>
              <w:rPr>
                <w:rFonts w:ascii="Arial" w:hAnsi="Arial" w:cs="Arial"/>
                <w:i/>
                <w:iCs/>
                <w:sz w:val="18"/>
                <w:szCs w:val="18"/>
              </w:rPr>
            </w:pPr>
            <w:r>
              <w:rPr>
                <w:rFonts w:ascii="Arial" w:hAnsi="Arial" w:cs="Arial"/>
                <w:i/>
                <w:iCs/>
                <w:sz w:val="18"/>
                <w:szCs w:val="18"/>
              </w:rPr>
              <w:t xml:space="preserve">Interne Kontrollen </w:t>
            </w:r>
          </w:p>
        </w:tc>
        <w:tc>
          <w:tcPr>
            <w:tcW w:w="7371" w:type="dxa"/>
          </w:tcPr>
          <w:p w14:paraId="09220230" w14:textId="7818BD7B" w:rsidR="00230ECF" w:rsidRPr="00B3666B" w:rsidRDefault="00230ECF" w:rsidP="00C37D08">
            <w:pPr>
              <w:pStyle w:val="Listenabsatz"/>
              <w:numPr>
                <w:ilvl w:val="1"/>
                <w:numId w:val="10"/>
              </w:numPr>
              <w:spacing w:line="259" w:lineRule="auto"/>
              <w:ind w:left="317" w:hanging="283"/>
              <w:jc w:val="both"/>
              <w:rPr>
                <w:i/>
                <w:iCs/>
                <w:sz w:val="18"/>
                <w:szCs w:val="18"/>
              </w:rPr>
            </w:pPr>
            <w:r w:rsidRPr="00B3666B">
              <w:rPr>
                <w:i/>
                <w:iCs/>
                <w:sz w:val="18"/>
                <w:szCs w:val="18"/>
              </w:rPr>
              <w:t>Die IT-Systeme</w:t>
            </w:r>
            <w:r w:rsidR="00D674EC" w:rsidRPr="00B3666B">
              <w:rPr>
                <w:i/>
                <w:iCs/>
                <w:sz w:val="18"/>
                <w:szCs w:val="18"/>
              </w:rPr>
              <w:t xml:space="preserve"> </w:t>
            </w:r>
            <w:r w:rsidR="005F0165">
              <w:rPr>
                <w:i/>
                <w:iCs/>
                <w:sz w:val="18"/>
                <w:szCs w:val="18"/>
              </w:rPr>
              <w:t xml:space="preserve">ermöglichen eine </w:t>
            </w:r>
            <w:r w:rsidR="00CA4C0C">
              <w:rPr>
                <w:i/>
                <w:iCs/>
                <w:sz w:val="18"/>
                <w:szCs w:val="18"/>
              </w:rPr>
              <w:t>E</w:t>
            </w:r>
            <w:r w:rsidR="00146F26">
              <w:rPr>
                <w:i/>
                <w:iCs/>
                <w:sz w:val="18"/>
                <w:szCs w:val="18"/>
              </w:rPr>
              <w:t>xtraktion von</w:t>
            </w:r>
            <w:r w:rsidR="007D5A3F">
              <w:rPr>
                <w:i/>
                <w:iCs/>
                <w:sz w:val="18"/>
                <w:szCs w:val="18"/>
              </w:rPr>
              <w:t xml:space="preserve"> relevanten</w:t>
            </w:r>
            <w:r w:rsidR="00146F26">
              <w:rPr>
                <w:i/>
                <w:iCs/>
                <w:sz w:val="18"/>
                <w:szCs w:val="18"/>
              </w:rPr>
              <w:t xml:space="preserve"> Informationen</w:t>
            </w:r>
            <w:r w:rsidR="00D12C1B">
              <w:rPr>
                <w:i/>
                <w:iCs/>
                <w:sz w:val="18"/>
                <w:szCs w:val="18"/>
              </w:rPr>
              <w:t xml:space="preserve"> </w:t>
            </w:r>
            <w:r w:rsidR="00204033" w:rsidRPr="00124D1B">
              <w:rPr>
                <w:rFonts w:cs="Arial"/>
                <w:i/>
                <w:iCs/>
                <w:sz w:val="18"/>
                <w:szCs w:val="18"/>
              </w:rPr>
              <w:t>(inkl. Informationen über das Eigentum an Vermögenswerten und Infrastruktur, die Preisgestaltung, vertragliche Rechte und Vereinbarungen, sowie Auslagerungsvereinbarungen)</w:t>
            </w:r>
            <w:r w:rsidR="00124D1B" w:rsidRPr="00124D1B">
              <w:rPr>
                <w:rFonts w:cs="Arial"/>
                <w:i/>
                <w:iCs/>
                <w:sz w:val="18"/>
                <w:szCs w:val="18"/>
              </w:rPr>
              <w:t xml:space="preserve"> in angemessener Frist</w:t>
            </w:r>
            <w:r w:rsidR="00D12C1B">
              <w:rPr>
                <w:i/>
                <w:iCs/>
                <w:sz w:val="18"/>
                <w:szCs w:val="18"/>
              </w:rPr>
              <w:t xml:space="preserve"> </w:t>
            </w:r>
            <w:r w:rsidRPr="00B3666B">
              <w:rPr>
                <w:i/>
                <w:iCs/>
                <w:sz w:val="18"/>
                <w:szCs w:val="18"/>
              </w:rPr>
              <w:t xml:space="preserve"> </w:t>
            </w:r>
          </w:p>
          <w:p w14:paraId="1D3E886E" w14:textId="66A544E6" w:rsidR="00326731" w:rsidRDefault="00326731" w:rsidP="00C37D08">
            <w:pPr>
              <w:pStyle w:val="Listenabsatz"/>
              <w:numPr>
                <w:ilvl w:val="1"/>
                <w:numId w:val="6"/>
              </w:numPr>
              <w:spacing w:line="259" w:lineRule="auto"/>
              <w:ind w:left="317" w:hanging="283"/>
              <w:jc w:val="both"/>
              <w:rPr>
                <w:rFonts w:cs="Arial"/>
                <w:i/>
                <w:iCs/>
                <w:sz w:val="18"/>
                <w:szCs w:val="18"/>
              </w:rPr>
            </w:pPr>
            <w:r w:rsidRPr="00B3666B">
              <w:rPr>
                <w:rFonts w:cs="Arial"/>
                <w:i/>
                <w:iCs/>
                <w:sz w:val="18"/>
                <w:szCs w:val="18"/>
              </w:rPr>
              <w:t>Die internen Verfahren gewährleisten ein angemessenes Dokumentations- und Archivierungswesen</w:t>
            </w:r>
          </w:p>
          <w:p w14:paraId="77483B60" w14:textId="5081B3EA" w:rsidR="00BF5173" w:rsidRPr="009F1D61" w:rsidRDefault="00BF5173" w:rsidP="000B44E4">
            <w:pPr>
              <w:pStyle w:val="Listenabsatz"/>
              <w:numPr>
                <w:ilvl w:val="1"/>
                <w:numId w:val="6"/>
              </w:numPr>
              <w:spacing w:line="259" w:lineRule="auto"/>
              <w:ind w:left="317" w:hanging="283"/>
              <w:jc w:val="both"/>
              <w:rPr>
                <w:rFonts w:cs="Arial"/>
                <w:i/>
                <w:iCs/>
                <w:sz w:val="18"/>
                <w:szCs w:val="18"/>
              </w:rPr>
            </w:pPr>
            <w:r w:rsidRPr="00BF5173">
              <w:rPr>
                <w:rFonts w:cs="Arial"/>
                <w:i/>
                <w:iCs/>
                <w:sz w:val="18"/>
                <w:szCs w:val="18"/>
              </w:rPr>
              <w:t>Die internen Verfahren sehen die Anwendung des 4-Augen-Prinzips bzw. Funktionstrennung bei Schlüsselkontrollen vor</w:t>
            </w:r>
          </w:p>
        </w:tc>
      </w:tr>
    </w:tbl>
    <w:p w14:paraId="35136BB9" w14:textId="664D7FF3" w:rsidR="61EE8D92" w:rsidRDefault="61EE8D92" w:rsidP="61EE8D92">
      <w:pPr>
        <w:pStyle w:val="FINMAGliederungEbene2"/>
        <w:numPr>
          <w:ilvl w:val="1"/>
          <w:numId w:val="0"/>
        </w:numPr>
      </w:pPr>
    </w:p>
    <w:p w14:paraId="0EBB309A" w14:textId="4C4E916B" w:rsidR="009C13AD" w:rsidRDefault="007B201B" w:rsidP="00C37D08">
      <w:pPr>
        <w:pStyle w:val="FINMAGliederungEbene2"/>
      </w:pPr>
      <w:bookmarkStart w:id="30" w:name="_Toc147141454"/>
      <w:r>
        <w:t>Operative Kontinuität</w:t>
      </w:r>
      <w:bookmarkEnd w:id="30"/>
    </w:p>
    <w:p w14:paraId="409F0E54" w14:textId="77777777" w:rsidR="009C13AD" w:rsidRDefault="009C13AD" w:rsidP="009C13AD">
      <w:pPr>
        <w:pStyle w:val="FINMAGliederungEbene2"/>
        <w:numPr>
          <w:ilvl w:val="0"/>
          <w:numId w:val="0"/>
        </w:numPr>
        <w:ind w:left="576"/>
      </w:pPr>
    </w:p>
    <w:tbl>
      <w:tblPr>
        <w:tblStyle w:val="Tabellenraster"/>
        <w:tblpPr w:leftFromText="141" w:rightFromText="141" w:vertAnchor="text" w:tblpY="1"/>
        <w:tblOverlap w:val="never"/>
        <w:tblW w:w="0" w:type="auto"/>
        <w:tblLook w:val="04A0" w:firstRow="1" w:lastRow="0" w:firstColumn="1" w:lastColumn="0" w:noHBand="0" w:noVBand="1"/>
      </w:tblPr>
      <w:tblGrid>
        <w:gridCol w:w="417"/>
        <w:gridCol w:w="1653"/>
        <w:gridCol w:w="2145"/>
        <w:gridCol w:w="1721"/>
        <w:gridCol w:w="860"/>
        <w:gridCol w:w="2522"/>
      </w:tblGrid>
      <w:tr w:rsidR="009C13AD" w:rsidRPr="009872F3" w14:paraId="14F1B752" w14:textId="77777777" w:rsidTr="001F28F8">
        <w:trPr>
          <w:trHeight w:val="563"/>
        </w:trPr>
        <w:tc>
          <w:tcPr>
            <w:tcW w:w="2070" w:type="dxa"/>
            <w:gridSpan w:val="2"/>
            <w:shd w:val="clear" w:color="auto" w:fill="DBE5F1" w:themeFill="accent1" w:themeFillTint="33"/>
          </w:tcPr>
          <w:p w14:paraId="7D47FBA1" w14:textId="77777777" w:rsidR="009C13AD" w:rsidRPr="009872F3" w:rsidRDefault="009C13AD" w:rsidP="00592FF4">
            <w:pPr>
              <w:jc w:val="both"/>
              <w:rPr>
                <w:rFonts w:ascii="Arial" w:hAnsi="Arial" w:cs="Arial"/>
                <w:sz w:val="18"/>
                <w:szCs w:val="18"/>
              </w:rPr>
            </w:pPr>
            <w:r w:rsidRPr="009872F3">
              <w:rPr>
                <w:rFonts w:ascii="Arial" w:hAnsi="Arial" w:cs="Arial"/>
                <w:sz w:val="18"/>
                <w:szCs w:val="18"/>
              </w:rPr>
              <w:t>Nettorisiko</w:t>
            </w:r>
          </w:p>
        </w:tc>
        <w:tc>
          <w:tcPr>
            <w:tcW w:w="2145" w:type="dxa"/>
            <w:shd w:val="clear" w:color="auto" w:fill="DBE5F1" w:themeFill="accent1" w:themeFillTint="33"/>
          </w:tcPr>
          <w:p w14:paraId="4D8D5AEE" w14:textId="77777777" w:rsidR="009C13AD" w:rsidRPr="009872F3" w:rsidRDefault="009C13AD" w:rsidP="00592FF4">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42E637A6" w14:textId="77777777" w:rsidR="009C13AD" w:rsidRPr="009872F3" w:rsidRDefault="009C13AD" w:rsidP="00592FF4">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C13AD" w:rsidRPr="009872F3" w14:paraId="242E8D57" w14:textId="77777777" w:rsidTr="001F28F8">
        <w:trPr>
          <w:trHeight w:val="698"/>
        </w:trPr>
        <w:tc>
          <w:tcPr>
            <w:tcW w:w="2070" w:type="dxa"/>
            <w:gridSpan w:val="2"/>
            <w:shd w:val="clear" w:color="auto" w:fill="DBE5F1" w:themeFill="accent1" w:themeFillTint="33"/>
          </w:tcPr>
          <w:p w14:paraId="18127A5E" w14:textId="77777777" w:rsidR="009C13AD" w:rsidRPr="006749F0" w:rsidRDefault="009C13AD" w:rsidP="00592FF4">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17ED16C2" w14:textId="77777777" w:rsidR="009C13AD" w:rsidRPr="006749F0" w:rsidRDefault="009C13AD" w:rsidP="00592FF4">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7D8EC333" w14:textId="77777777" w:rsidR="009C13AD" w:rsidRPr="009872F3" w:rsidRDefault="009C13AD" w:rsidP="00592FF4">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68E37A9B" w14:textId="77777777" w:rsidR="009C13AD" w:rsidRDefault="009C13AD" w:rsidP="00592FF4">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9E3688B" w14:textId="77777777" w:rsidR="009C13AD" w:rsidRPr="006749F0" w:rsidRDefault="009C13AD" w:rsidP="00592FF4">
            <w:pPr>
              <w:jc w:val="both"/>
              <w:rPr>
                <w:rFonts w:ascii="Arial" w:hAnsi="Arial" w:cs="Arial"/>
                <w:i/>
                <w:sz w:val="18"/>
                <w:szCs w:val="18"/>
              </w:rPr>
            </w:pPr>
            <w:r w:rsidRPr="006749F0">
              <w:rPr>
                <w:rFonts w:ascii="Arial" w:hAnsi="Arial" w:cs="Arial"/>
                <w:i/>
                <w:sz w:val="18"/>
                <w:szCs w:val="18"/>
                <w:highlight w:val="yellow"/>
              </w:rPr>
              <w:t>Jahr</w:t>
            </w:r>
          </w:p>
        </w:tc>
      </w:tr>
      <w:tr w:rsidR="009C13AD" w:rsidRPr="009872F3" w14:paraId="133A4C2A" w14:textId="77777777" w:rsidTr="001F28F8">
        <w:trPr>
          <w:trHeight w:val="636"/>
        </w:trPr>
        <w:tc>
          <w:tcPr>
            <w:tcW w:w="9318" w:type="dxa"/>
            <w:gridSpan w:val="6"/>
            <w:shd w:val="clear" w:color="auto" w:fill="DBE5F1" w:themeFill="accent1" w:themeFillTint="33"/>
          </w:tcPr>
          <w:p w14:paraId="17BA0BFD" w14:textId="77777777" w:rsidR="00200C79" w:rsidRDefault="00614454" w:rsidP="000B44E4">
            <w:pPr>
              <w:jc w:val="both"/>
              <w:rPr>
                <w:rFonts w:ascii="Arial" w:hAnsi="Arial" w:cs="Arial"/>
                <w:i/>
                <w:sz w:val="18"/>
                <w:szCs w:val="18"/>
              </w:rPr>
            </w:pPr>
            <w:r w:rsidRPr="00DD758F">
              <w:rPr>
                <w:rFonts w:ascii="Arial" w:hAnsi="Arial" w:cs="Arial"/>
                <w:i/>
                <w:sz w:val="18"/>
                <w:szCs w:val="18"/>
              </w:rPr>
              <w:t>Referenzen (demonstrativ):</w:t>
            </w:r>
          </w:p>
          <w:p w14:paraId="4321ED11" w14:textId="095EDFBD" w:rsidR="00B615BC" w:rsidRPr="000B44E4" w:rsidRDefault="005B59C4" w:rsidP="00200C79">
            <w:pPr>
              <w:pStyle w:val="Listenabsatz"/>
              <w:numPr>
                <w:ilvl w:val="0"/>
                <w:numId w:val="9"/>
              </w:numPr>
              <w:ind w:left="308"/>
              <w:jc w:val="both"/>
              <w:rPr>
                <w:rFonts w:cs="Arial"/>
                <w:sz w:val="18"/>
                <w:szCs w:val="18"/>
              </w:rPr>
            </w:pPr>
            <w:r w:rsidRPr="000B44E4">
              <w:rPr>
                <w:rFonts w:cs="Arial"/>
                <w:sz w:val="18"/>
                <w:szCs w:val="18"/>
              </w:rPr>
              <w:t>Delegierte Verordnung (EU) 2016/778 in Bezug auf die Kriterien für die Bestimmung der Tätigkeiten, Dienstleistungen und Geschäfte im Zusammenhang mit „kritischen Funktionen“ und zur Präzisierung der Kriterien für die Bestimmung der Geschäftsbereiche und damit verbundenen Dienste im Zusammenhang mit den Kerngeschäftsbereichen</w:t>
            </w:r>
            <w:r w:rsidR="00467B85" w:rsidRPr="000B44E4">
              <w:rPr>
                <w:rFonts w:cs="Arial"/>
                <w:sz w:val="18"/>
                <w:szCs w:val="18"/>
              </w:rPr>
              <w:t xml:space="preserve"> </w:t>
            </w:r>
            <w:r w:rsidR="00B615BC" w:rsidRPr="000B44E4">
              <w:rPr>
                <w:rFonts w:cs="Arial"/>
                <w:sz w:val="18"/>
                <w:szCs w:val="18"/>
              </w:rPr>
              <w:t>Durchführungsverordnung (EU) 2018/1624</w:t>
            </w:r>
          </w:p>
          <w:p w14:paraId="0994E200" w14:textId="77777777" w:rsidR="00614454" w:rsidRPr="00997881" w:rsidRDefault="00614454" w:rsidP="00C37D08">
            <w:pPr>
              <w:pStyle w:val="Listenabsatz"/>
              <w:numPr>
                <w:ilvl w:val="0"/>
                <w:numId w:val="9"/>
              </w:numPr>
              <w:ind w:left="308"/>
              <w:jc w:val="both"/>
              <w:rPr>
                <w:rFonts w:cs="Arial"/>
                <w:sz w:val="18"/>
                <w:szCs w:val="18"/>
              </w:rPr>
            </w:pPr>
            <w:r w:rsidRPr="00997881">
              <w:rPr>
                <w:rFonts w:cs="Arial"/>
                <w:sz w:val="18"/>
                <w:szCs w:val="18"/>
              </w:rPr>
              <w:t>EBA Leitlinien zur Verbesserung der Abwicklungsfähigkeit für Institute und Abwicklungsbehörden</w:t>
            </w:r>
          </w:p>
          <w:p w14:paraId="59C56B91" w14:textId="77777777" w:rsidR="009C13AD" w:rsidRDefault="00614454" w:rsidP="00543B51">
            <w:pPr>
              <w:pStyle w:val="Listenabsatz"/>
              <w:ind w:left="308"/>
              <w:jc w:val="both"/>
              <w:rPr>
                <w:rFonts w:cs="Arial"/>
                <w:sz w:val="18"/>
                <w:szCs w:val="18"/>
              </w:rPr>
            </w:pPr>
            <w:r w:rsidRPr="00997881">
              <w:rPr>
                <w:rFonts w:cs="Arial"/>
                <w:sz w:val="18"/>
                <w:szCs w:val="18"/>
              </w:rPr>
              <w:t>(Resolvability Guidelines; EBA/GL/2022/01)</w:t>
            </w:r>
          </w:p>
          <w:p w14:paraId="3DD9D91D" w14:textId="77777777" w:rsidR="0003219D" w:rsidRPr="0003219D" w:rsidRDefault="0003219D" w:rsidP="00C37D08">
            <w:pPr>
              <w:pStyle w:val="Listenabsatz"/>
              <w:numPr>
                <w:ilvl w:val="0"/>
                <w:numId w:val="9"/>
              </w:numPr>
              <w:ind w:left="308"/>
              <w:jc w:val="both"/>
              <w:rPr>
                <w:rFonts w:cs="Arial"/>
                <w:sz w:val="18"/>
                <w:szCs w:val="18"/>
              </w:rPr>
            </w:pPr>
            <w:r w:rsidRPr="0003219D">
              <w:rPr>
                <w:rFonts w:cs="Arial"/>
                <w:sz w:val="18"/>
                <w:szCs w:val="18"/>
              </w:rPr>
              <w:t>EBA Leitlinien hinsichtlich der Mindestliste an Diensten und Einrichtungen, die ein übernehmender</w:t>
            </w:r>
          </w:p>
          <w:p w14:paraId="696B15D5" w14:textId="77777777" w:rsidR="0003219D" w:rsidRPr="0003219D" w:rsidRDefault="0003219D" w:rsidP="00543B51">
            <w:pPr>
              <w:pStyle w:val="Listenabsatz"/>
              <w:ind w:left="308"/>
              <w:jc w:val="both"/>
              <w:rPr>
                <w:rFonts w:cs="Arial"/>
                <w:sz w:val="18"/>
                <w:szCs w:val="18"/>
              </w:rPr>
            </w:pPr>
            <w:r w:rsidRPr="0003219D">
              <w:rPr>
                <w:rFonts w:cs="Arial"/>
                <w:sz w:val="18"/>
                <w:szCs w:val="18"/>
              </w:rPr>
              <w:t>Rechtsträger für den Betrieb des auf ihn übertragenen Geschäfts gemäß Artikel 65 Absatz 5 der</w:t>
            </w:r>
          </w:p>
          <w:p w14:paraId="79EA690C" w14:textId="77777777" w:rsidR="0003219D" w:rsidRDefault="0003219D" w:rsidP="00543B51">
            <w:pPr>
              <w:pStyle w:val="Listenabsatz"/>
              <w:ind w:left="308"/>
              <w:jc w:val="both"/>
              <w:rPr>
                <w:rFonts w:cs="Arial"/>
                <w:sz w:val="18"/>
                <w:szCs w:val="18"/>
              </w:rPr>
            </w:pPr>
            <w:r w:rsidRPr="0003219D">
              <w:rPr>
                <w:rFonts w:cs="Arial"/>
                <w:sz w:val="18"/>
                <w:szCs w:val="18"/>
              </w:rPr>
              <w:t>Richtlinie 2014/59/EU benötigt (EBA/GL/2015/06)</w:t>
            </w:r>
          </w:p>
          <w:p w14:paraId="21DF6BE1" w14:textId="714CB659" w:rsidR="00E75BEB" w:rsidRPr="0096765A" w:rsidRDefault="00E75BEB" w:rsidP="0096765A">
            <w:pPr>
              <w:pStyle w:val="Listenabsatz"/>
              <w:numPr>
                <w:ilvl w:val="0"/>
                <w:numId w:val="9"/>
              </w:numPr>
              <w:ind w:left="308"/>
              <w:jc w:val="both"/>
              <w:rPr>
                <w:rFonts w:cs="Arial"/>
                <w:sz w:val="18"/>
                <w:szCs w:val="18"/>
              </w:rPr>
            </w:pPr>
            <w:r w:rsidRPr="00997881">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9C13AD" w:rsidRPr="009872F3" w14:paraId="1C932E38" w14:textId="77777777" w:rsidTr="001F28F8">
        <w:trPr>
          <w:trHeight w:val="294"/>
        </w:trPr>
        <w:tc>
          <w:tcPr>
            <w:tcW w:w="9318" w:type="dxa"/>
            <w:gridSpan w:val="6"/>
          </w:tcPr>
          <w:p w14:paraId="3E88AE4A" w14:textId="77777777" w:rsidR="009C13AD" w:rsidRPr="009872F3" w:rsidRDefault="009C13AD" w:rsidP="00592FF4">
            <w:pPr>
              <w:jc w:val="both"/>
              <w:rPr>
                <w:rFonts w:ascii="Arial" w:hAnsi="Arial" w:cs="Arial"/>
                <w:sz w:val="18"/>
                <w:szCs w:val="18"/>
              </w:rPr>
            </w:pPr>
          </w:p>
        </w:tc>
      </w:tr>
      <w:tr w:rsidR="00F53A6F" w:rsidRPr="009872F3" w14:paraId="1FFF00AB" w14:textId="77777777" w:rsidTr="0096765A">
        <w:trPr>
          <w:trHeight w:val="294"/>
        </w:trPr>
        <w:tc>
          <w:tcPr>
            <w:tcW w:w="417" w:type="dxa"/>
          </w:tcPr>
          <w:p w14:paraId="73F2F4C6" w14:textId="38E78D62" w:rsidR="00F53A6F" w:rsidRPr="009872F3" w:rsidRDefault="00F53A6F" w:rsidP="00592FF4">
            <w:pPr>
              <w:jc w:val="both"/>
              <w:rPr>
                <w:rFonts w:ascii="Arial" w:hAnsi="Arial" w:cs="Arial"/>
                <w:sz w:val="18"/>
                <w:szCs w:val="18"/>
              </w:rPr>
            </w:pPr>
            <w:r>
              <w:rPr>
                <w:rFonts w:ascii="Arial" w:hAnsi="Arial" w:cs="Arial"/>
                <w:sz w:val="18"/>
                <w:szCs w:val="18"/>
              </w:rPr>
              <w:t>1</w:t>
            </w:r>
          </w:p>
        </w:tc>
        <w:tc>
          <w:tcPr>
            <w:tcW w:w="6379" w:type="dxa"/>
            <w:gridSpan w:val="4"/>
          </w:tcPr>
          <w:p w14:paraId="4AA53528" w14:textId="7257D16E" w:rsidR="00F53A6F" w:rsidRPr="009872F3" w:rsidRDefault="00F53A6F" w:rsidP="00592FF4">
            <w:pPr>
              <w:jc w:val="both"/>
              <w:rPr>
                <w:rFonts w:ascii="Arial" w:hAnsi="Arial" w:cs="Arial"/>
                <w:sz w:val="18"/>
                <w:szCs w:val="18"/>
              </w:rPr>
            </w:pPr>
            <w:r w:rsidRPr="00CB06D0">
              <w:rPr>
                <w:rFonts w:ascii="Arial" w:hAnsi="Arial" w:cs="Arial"/>
                <w:sz w:val="18"/>
                <w:szCs w:val="18"/>
              </w:rPr>
              <w:t xml:space="preserve">Bestätigung, dass interne Verfahren </w:t>
            </w:r>
            <w:r>
              <w:rPr>
                <w:rFonts w:ascii="Arial" w:hAnsi="Arial" w:cs="Arial"/>
                <w:sz w:val="18"/>
                <w:szCs w:val="18"/>
              </w:rPr>
              <w:t>die Aufrechterhaltung kritischer Funktionen vor</w:t>
            </w:r>
            <w:r w:rsidR="00622C55">
              <w:rPr>
                <w:rFonts w:ascii="Arial" w:hAnsi="Arial" w:cs="Arial"/>
                <w:sz w:val="18"/>
                <w:szCs w:val="18"/>
              </w:rPr>
              <w:t xml:space="preserve"> und</w:t>
            </w:r>
            <w:r>
              <w:rPr>
                <w:rFonts w:ascii="Arial" w:hAnsi="Arial" w:cs="Arial"/>
                <w:sz w:val="18"/>
                <w:szCs w:val="18"/>
              </w:rPr>
              <w:t xml:space="preserve"> während einer Abwicklung</w:t>
            </w:r>
            <w:r w:rsidR="00622C55">
              <w:rPr>
                <w:rFonts w:ascii="Arial" w:hAnsi="Arial" w:cs="Arial"/>
                <w:sz w:val="18"/>
                <w:szCs w:val="18"/>
              </w:rPr>
              <w:t xml:space="preserve"> ermöglichen und dass diese </w:t>
            </w:r>
            <w:r w:rsidR="007253AD">
              <w:rPr>
                <w:rFonts w:ascii="Arial" w:hAnsi="Arial" w:cs="Arial"/>
                <w:sz w:val="18"/>
                <w:szCs w:val="18"/>
              </w:rPr>
              <w:t>kohärent und/oder komplementär zur Business-Continuity-Management (BCM)</w:t>
            </w:r>
            <w:r w:rsidR="00A44937">
              <w:rPr>
                <w:rFonts w:ascii="Arial" w:hAnsi="Arial" w:cs="Arial"/>
                <w:sz w:val="18"/>
                <w:szCs w:val="18"/>
              </w:rPr>
              <w:t xml:space="preserve"> ausgestaltet sind (EBA/GL/2022/01</w:t>
            </w:r>
            <w:r w:rsidR="009851BA">
              <w:rPr>
                <w:rFonts w:ascii="Arial" w:hAnsi="Arial" w:cs="Arial"/>
                <w:sz w:val="18"/>
                <w:szCs w:val="18"/>
              </w:rPr>
              <w:t>, 4.1.1</w:t>
            </w:r>
            <w:r w:rsidR="00A44937">
              <w:rPr>
                <w:rFonts w:ascii="Arial" w:hAnsi="Arial" w:cs="Arial"/>
                <w:sz w:val="18"/>
                <w:szCs w:val="18"/>
              </w:rPr>
              <w:t>).</w:t>
            </w:r>
          </w:p>
        </w:tc>
        <w:tc>
          <w:tcPr>
            <w:tcW w:w="2522" w:type="dxa"/>
          </w:tcPr>
          <w:p w14:paraId="797887CF" w14:textId="6451E0F9" w:rsidR="00F53A6F" w:rsidRPr="009872F3" w:rsidRDefault="00F53A6F" w:rsidP="00592FF4">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615BC" w:rsidRPr="009872F3" w14:paraId="17E18CD2" w14:textId="0FCEB927" w:rsidTr="001F28F8">
        <w:trPr>
          <w:trHeight w:val="294"/>
        </w:trPr>
        <w:tc>
          <w:tcPr>
            <w:tcW w:w="417" w:type="dxa"/>
          </w:tcPr>
          <w:p w14:paraId="1E8AB3BC" w14:textId="066D8C0B" w:rsidR="00B615BC" w:rsidRDefault="00B615BC" w:rsidP="00592FF4">
            <w:pPr>
              <w:jc w:val="both"/>
              <w:rPr>
                <w:rFonts w:ascii="Arial" w:hAnsi="Arial" w:cs="Arial"/>
                <w:sz w:val="18"/>
                <w:szCs w:val="18"/>
              </w:rPr>
            </w:pPr>
            <w:r>
              <w:rPr>
                <w:rFonts w:ascii="Arial" w:hAnsi="Arial" w:cs="Arial"/>
                <w:sz w:val="18"/>
                <w:szCs w:val="18"/>
              </w:rPr>
              <w:t>2</w:t>
            </w:r>
          </w:p>
        </w:tc>
        <w:tc>
          <w:tcPr>
            <w:tcW w:w="6379" w:type="dxa"/>
            <w:gridSpan w:val="4"/>
          </w:tcPr>
          <w:p w14:paraId="4A1E0498" w14:textId="6A20D319" w:rsidR="00B615BC" w:rsidRPr="00CB06D0" w:rsidRDefault="00B615BC" w:rsidP="00592FF4">
            <w:pPr>
              <w:jc w:val="both"/>
              <w:rPr>
                <w:rFonts w:ascii="Arial" w:hAnsi="Arial" w:cs="Arial"/>
                <w:sz w:val="18"/>
                <w:szCs w:val="18"/>
              </w:rPr>
            </w:pPr>
            <w:r w:rsidRPr="00CB06D0">
              <w:rPr>
                <w:rFonts w:ascii="Arial" w:hAnsi="Arial" w:cs="Arial"/>
                <w:sz w:val="18"/>
                <w:szCs w:val="18"/>
              </w:rPr>
              <w:t xml:space="preserve">Bestätigung, dass die internen Verfahren </w:t>
            </w:r>
            <w:r>
              <w:rPr>
                <w:rFonts w:ascii="Arial" w:hAnsi="Arial" w:cs="Arial"/>
                <w:sz w:val="18"/>
                <w:szCs w:val="18"/>
              </w:rPr>
              <w:t xml:space="preserve">eine korrekte </w:t>
            </w:r>
            <w:r w:rsidRPr="00B615BC">
              <w:rPr>
                <w:rFonts w:ascii="Arial" w:hAnsi="Arial" w:cs="Arial"/>
                <w:sz w:val="18"/>
                <w:szCs w:val="18"/>
              </w:rPr>
              <w:t>Zuordnung von Kerngeschäftsbereichen und kritischen Funktionen</w:t>
            </w:r>
            <w:r>
              <w:rPr>
                <w:rFonts w:ascii="Arial" w:hAnsi="Arial" w:cs="Arial"/>
                <w:sz w:val="18"/>
                <w:szCs w:val="18"/>
              </w:rPr>
              <w:t xml:space="preserve"> gemäss der </w:t>
            </w:r>
            <w:r w:rsidRPr="00B615BC">
              <w:rPr>
                <w:rFonts w:ascii="Arial" w:hAnsi="Arial" w:cs="Arial"/>
                <w:sz w:val="18"/>
                <w:szCs w:val="18"/>
              </w:rPr>
              <w:t>Durchführungsverordnung (EU) 2018/1624</w:t>
            </w:r>
            <w:r>
              <w:rPr>
                <w:rFonts w:ascii="Arial" w:hAnsi="Arial" w:cs="Arial"/>
                <w:sz w:val="18"/>
                <w:szCs w:val="18"/>
              </w:rPr>
              <w:t xml:space="preserve"> </w:t>
            </w:r>
            <w:proofErr w:type="spellStart"/>
            <w:r w:rsidR="001A42C4">
              <w:rPr>
                <w:rFonts w:ascii="Arial" w:hAnsi="Arial" w:cs="Arial"/>
                <w:sz w:val="18"/>
                <w:szCs w:val="18"/>
              </w:rPr>
              <w:t>i.V.m</w:t>
            </w:r>
            <w:proofErr w:type="spellEnd"/>
            <w:r w:rsidR="001A42C4">
              <w:rPr>
                <w:rFonts w:ascii="Arial" w:hAnsi="Arial" w:cs="Arial"/>
                <w:sz w:val="18"/>
                <w:szCs w:val="18"/>
              </w:rPr>
              <w:t>. SAG Anhang 2 und 3</w:t>
            </w:r>
            <w:r w:rsidR="00347D74">
              <w:rPr>
                <w:rFonts w:ascii="Arial" w:hAnsi="Arial" w:cs="Arial"/>
                <w:sz w:val="18"/>
                <w:szCs w:val="18"/>
              </w:rPr>
              <w:t xml:space="preserve"> </w:t>
            </w:r>
            <w:r w:rsidR="4139E272" w:rsidRPr="4A737A38">
              <w:rPr>
                <w:rFonts w:ascii="Arial" w:hAnsi="Arial" w:cs="Arial"/>
                <w:sz w:val="18"/>
                <w:szCs w:val="18"/>
              </w:rPr>
              <w:t>ermöglichen</w:t>
            </w:r>
            <w:r w:rsidR="00347D74">
              <w:rPr>
                <w:rFonts w:ascii="Arial" w:hAnsi="Arial" w:cs="Arial"/>
                <w:sz w:val="18"/>
                <w:szCs w:val="18"/>
              </w:rPr>
              <w:t>.</w:t>
            </w:r>
          </w:p>
        </w:tc>
        <w:tc>
          <w:tcPr>
            <w:tcW w:w="2522" w:type="dxa"/>
          </w:tcPr>
          <w:p w14:paraId="7CA31820" w14:textId="46DFB926" w:rsidR="00B615BC" w:rsidRPr="00E109DF" w:rsidRDefault="00B615BC" w:rsidP="00592FF4">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C39CF" w:rsidRPr="009872F3" w14:paraId="45C66B1D" w14:textId="77777777" w:rsidTr="001F28F8">
        <w:trPr>
          <w:trHeight w:val="294"/>
        </w:trPr>
        <w:tc>
          <w:tcPr>
            <w:tcW w:w="417" w:type="dxa"/>
          </w:tcPr>
          <w:p w14:paraId="234ED1E0" w14:textId="5C01FB09" w:rsidR="000C39CF" w:rsidRPr="000C39CF" w:rsidRDefault="00B615BC" w:rsidP="000C39CF">
            <w:pPr>
              <w:jc w:val="both"/>
              <w:rPr>
                <w:rFonts w:ascii="Arial" w:hAnsi="Arial" w:cs="Arial"/>
                <w:sz w:val="18"/>
                <w:szCs w:val="18"/>
              </w:rPr>
            </w:pPr>
            <w:r>
              <w:rPr>
                <w:rFonts w:ascii="Arial" w:hAnsi="Arial" w:cs="Arial"/>
                <w:sz w:val="18"/>
                <w:szCs w:val="18"/>
              </w:rPr>
              <w:t>3</w:t>
            </w:r>
          </w:p>
        </w:tc>
        <w:tc>
          <w:tcPr>
            <w:tcW w:w="6379" w:type="dxa"/>
            <w:gridSpan w:val="4"/>
          </w:tcPr>
          <w:p w14:paraId="21D647BB" w14:textId="2E0A6F75" w:rsidR="000C39CF" w:rsidRPr="000C39CF" w:rsidRDefault="000C39CF" w:rsidP="000C39CF">
            <w:pPr>
              <w:jc w:val="both"/>
              <w:rPr>
                <w:rFonts w:ascii="Arial" w:hAnsi="Arial" w:cs="Arial"/>
                <w:sz w:val="18"/>
                <w:szCs w:val="18"/>
              </w:rPr>
            </w:pPr>
            <w:r w:rsidRPr="000C39CF">
              <w:rPr>
                <w:rFonts w:ascii="Arial" w:hAnsi="Arial" w:cs="Arial"/>
                <w:sz w:val="18"/>
                <w:szCs w:val="18"/>
              </w:rPr>
              <w:t xml:space="preserve">Bestätigung, dass interne Verfahren </w:t>
            </w:r>
            <w:r w:rsidR="00647902">
              <w:rPr>
                <w:rFonts w:ascii="Arial" w:hAnsi="Arial" w:cs="Arial"/>
                <w:sz w:val="18"/>
                <w:szCs w:val="18"/>
              </w:rPr>
              <w:t>die Aufrechterhaltung</w:t>
            </w:r>
            <w:r w:rsidR="00F33368">
              <w:rPr>
                <w:rFonts w:ascii="Arial" w:hAnsi="Arial" w:cs="Arial"/>
                <w:sz w:val="18"/>
                <w:szCs w:val="18"/>
              </w:rPr>
              <w:t xml:space="preserve"> </w:t>
            </w:r>
            <w:r w:rsidRPr="000C39CF">
              <w:rPr>
                <w:rFonts w:ascii="Arial" w:hAnsi="Arial" w:cs="Arial"/>
                <w:sz w:val="18"/>
                <w:szCs w:val="18"/>
              </w:rPr>
              <w:t>eine</w:t>
            </w:r>
            <w:r w:rsidR="00F33368">
              <w:rPr>
                <w:rFonts w:ascii="Arial" w:hAnsi="Arial" w:cs="Arial"/>
                <w:sz w:val="18"/>
                <w:szCs w:val="18"/>
              </w:rPr>
              <w:t>r</w:t>
            </w:r>
            <w:r w:rsidRPr="000C39CF">
              <w:rPr>
                <w:rFonts w:ascii="Arial" w:hAnsi="Arial" w:cs="Arial"/>
                <w:sz w:val="18"/>
                <w:szCs w:val="18"/>
              </w:rPr>
              <w:t xml:space="preserve"> angemessene</w:t>
            </w:r>
            <w:r w:rsidR="00F33368">
              <w:rPr>
                <w:rFonts w:ascii="Arial" w:hAnsi="Arial" w:cs="Arial"/>
                <w:sz w:val="18"/>
                <w:szCs w:val="18"/>
              </w:rPr>
              <w:t>n</w:t>
            </w:r>
            <w:r w:rsidRPr="000C39CF">
              <w:rPr>
                <w:rFonts w:ascii="Arial" w:hAnsi="Arial" w:cs="Arial"/>
                <w:sz w:val="18"/>
                <w:szCs w:val="18"/>
              </w:rPr>
              <w:t xml:space="preserve"> Personalausstattung im Abwicklungsfall sowie </w:t>
            </w:r>
            <w:r w:rsidR="00F33368">
              <w:rPr>
                <w:rFonts w:ascii="Arial" w:hAnsi="Arial" w:cs="Arial"/>
                <w:sz w:val="18"/>
                <w:szCs w:val="18"/>
              </w:rPr>
              <w:t>zum</w:t>
            </w:r>
            <w:r w:rsidR="00F33368" w:rsidRPr="000C39CF">
              <w:rPr>
                <w:rFonts w:ascii="Arial" w:hAnsi="Arial" w:cs="Arial"/>
                <w:sz w:val="18"/>
                <w:szCs w:val="18"/>
              </w:rPr>
              <w:t xml:space="preserve"> </w:t>
            </w:r>
            <w:r w:rsidRPr="000C39CF">
              <w:rPr>
                <w:rFonts w:ascii="Arial" w:hAnsi="Arial" w:cs="Arial"/>
                <w:sz w:val="18"/>
                <w:szCs w:val="18"/>
              </w:rPr>
              <w:t xml:space="preserve">jederzeitigen Zugang zu betriebsnotwendigen </w:t>
            </w:r>
            <w:r w:rsidR="00E25960">
              <w:rPr>
                <w:rFonts w:ascii="Arial" w:hAnsi="Arial" w:cs="Arial"/>
                <w:sz w:val="18"/>
                <w:szCs w:val="18"/>
              </w:rPr>
              <w:t xml:space="preserve">Vermögenswerten und </w:t>
            </w:r>
            <w:r w:rsidRPr="000C39CF">
              <w:rPr>
                <w:rFonts w:ascii="Arial" w:hAnsi="Arial" w:cs="Arial"/>
                <w:sz w:val="18"/>
                <w:szCs w:val="18"/>
              </w:rPr>
              <w:t xml:space="preserve">Ressourcen («operational </w:t>
            </w:r>
            <w:proofErr w:type="spellStart"/>
            <w:r w:rsidRPr="000C39CF">
              <w:rPr>
                <w:rFonts w:ascii="Arial" w:hAnsi="Arial" w:cs="Arial"/>
                <w:sz w:val="18"/>
                <w:szCs w:val="18"/>
              </w:rPr>
              <w:t>assets</w:t>
            </w:r>
            <w:proofErr w:type="spellEnd"/>
            <w:r w:rsidRPr="000C39CF">
              <w:rPr>
                <w:rFonts w:ascii="Arial" w:hAnsi="Arial" w:cs="Arial"/>
                <w:sz w:val="18"/>
                <w:szCs w:val="18"/>
              </w:rPr>
              <w:t xml:space="preserve">» wie z.B. Immobilien, Markenrechte, Patente IT-Systeme und -Anwendungen, Software Datenbanken) </w:t>
            </w:r>
            <w:r w:rsidR="00F33368">
              <w:rPr>
                <w:rFonts w:ascii="Arial" w:hAnsi="Arial" w:cs="Arial"/>
                <w:sz w:val="18"/>
                <w:szCs w:val="18"/>
              </w:rPr>
              <w:t>ermöglichen</w:t>
            </w:r>
            <w:r w:rsidRPr="000C39CF">
              <w:rPr>
                <w:rFonts w:ascii="Arial" w:hAnsi="Arial" w:cs="Arial"/>
                <w:sz w:val="18"/>
                <w:szCs w:val="18"/>
              </w:rPr>
              <w:t>.</w:t>
            </w:r>
          </w:p>
        </w:tc>
        <w:tc>
          <w:tcPr>
            <w:tcW w:w="2522" w:type="dxa"/>
          </w:tcPr>
          <w:p w14:paraId="348AA41B" w14:textId="59E156F1" w:rsidR="000C39CF" w:rsidRPr="00E109DF" w:rsidRDefault="000C39CF" w:rsidP="000C39CF">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C39CF" w:rsidRPr="009872F3" w14:paraId="33936041" w14:textId="77777777" w:rsidTr="001F28F8">
        <w:trPr>
          <w:trHeight w:val="294"/>
        </w:trPr>
        <w:tc>
          <w:tcPr>
            <w:tcW w:w="417" w:type="dxa"/>
          </w:tcPr>
          <w:p w14:paraId="6FAC1628" w14:textId="61315186" w:rsidR="000C39CF" w:rsidRPr="009872F3" w:rsidRDefault="00B615BC" w:rsidP="000C39CF">
            <w:pPr>
              <w:jc w:val="both"/>
              <w:rPr>
                <w:rFonts w:ascii="Arial" w:hAnsi="Arial" w:cs="Arial"/>
                <w:sz w:val="18"/>
                <w:szCs w:val="18"/>
              </w:rPr>
            </w:pPr>
            <w:r>
              <w:rPr>
                <w:rFonts w:ascii="Arial" w:hAnsi="Arial" w:cs="Arial"/>
                <w:sz w:val="18"/>
                <w:szCs w:val="18"/>
              </w:rPr>
              <w:t>4</w:t>
            </w:r>
          </w:p>
        </w:tc>
        <w:tc>
          <w:tcPr>
            <w:tcW w:w="6379" w:type="dxa"/>
            <w:gridSpan w:val="4"/>
          </w:tcPr>
          <w:p w14:paraId="37DAEF19" w14:textId="6960D195" w:rsidR="000C39CF" w:rsidRPr="00CB06D0" w:rsidRDefault="000C39CF" w:rsidP="000C39CF">
            <w:pPr>
              <w:jc w:val="both"/>
              <w:rPr>
                <w:rFonts w:ascii="Arial" w:hAnsi="Arial" w:cs="Arial"/>
                <w:sz w:val="18"/>
                <w:szCs w:val="18"/>
              </w:rPr>
            </w:pPr>
            <w:r w:rsidRPr="00CB06D0">
              <w:rPr>
                <w:rFonts w:ascii="Arial" w:hAnsi="Arial" w:cs="Arial"/>
                <w:sz w:val="18"/>
                <w:szCs w:val="18"/>
              </w:rPr>
              <w:t xml:space="preserve">Bestätigung, dass interne Verfahren </w:t>
            </w:r>
            <w:r>
              <w:rPr>
                <w:rFonts w:ascii="Arial" w:hAnsi="Arial" w:cs="Arial"/>
                <w:sz w:val="18"/>
                <w:szCs w:val="18"/>
              </w:rPr>
              <w:t xml:space="preserve">eine angemessene Bewertung von Dienstleitungsverträgen (z.B. Service Level Agreements) in Hinblick auf ihre Liquidations- und </w:t>
            </w:r>
            <w:proofErr w:type="spellStart"/>
            <w:r w:rsidRPr="007076C2">
              <w:rPr>
                <w:rFonts w:ascii="Arial" w:hAnsi="Arial" w:cs="Arial"/>
                <w:sz w:val="18"/>
                <w:szCs w:val="18"/>
              </w:rPr>
              <w:t>Abwicklungsresilien</w:t>
            </w:r>
            <w:r>
              <w:rPr>
                <w:rFonts w:ascii="Arial" w:hAnsi="Arial" w:cs="Arial"/>
                <w:sz w:val="18"/>
                <w:szCs w:val="18"/>
              </w:rPr>
              <w:t>z</w:t>
            </w:r>
            <w:proofErr w:type="spellEnd"/>
            <w:r>
              <w:rPr>
                <w:rFonts w:ascii="Arial" w:hAnsi="Arial" w:cs="Arial"/>
                <w:sz w:val="18"/>
                <w:szCs w:val="18"/>
              </w:rPr>
              <w:t xml:space="preserve"> («BRRD-robust») </w:t>
            </w:r>
            <w:r w:rsidR="00115361">
              <w:rPr>
                <w:rFonts w:ascii="Arial" w:hAnsi="Arial" w:cs="Arial"/>
                <w:sz w:val="18"/>
                <w:szCs w:val="18"/>
              </w:rPr>
              <w:t>ermöglichen</w:t>
            </w:r>
            <w:r w:rsidR="00D72677">
              <w:rPr>
                <w:rFonts w:ascii="Arial" w:hAnsi="Arial" w:cs="Arial"/>
                <w:sz w:val="18"/>
                <w:szCs w:val="18"/>
              </w:rPr>
              <w:t xml:space="preserve"> (EBA/GL/2022/01</w:t>
            </w:r>
            <w:r w:rsidR="001B301C">
              <w:rPr>
                <w:rFonts w:ascii="Arial" w:hAnsi="Arial" w:cs="Arial"/>
                <w:sz w:val="18"/>
                <w:szCs w:val="18"/>
              </w:rPr>
              <w:t xml:space="preserve">, </w:t>
            </w:r>
            <w:proofErr w:type="spellStart"/>
            <w:r w:rsidR="001B301C">
              <w:rPr>
                <w:rFonts w:ascii="Arial" w:hAnsi="Arial" w:cs="Arial"/>
                <w:sz w:val="18"/>
                <w:szCs w:val="18"/>
              </w:rPr>
              <w:t>Rn</w:t>
            </w:r>
            <w:proofErr w:type="spellEnd"/>
            <w:r w:rsidR="001B301C">
              <w:rPr>
                <w:rFonts w:ascii="Arial" w:hAnsi="Arial" w:cs="Arial"/>
                <w:sz w:val="18"/>
                <w:szCs w:val="18"/>
              </w:rPr>
              <w:t xml:space="preserve"> 17 ff</w:t>
            </w:r>
            <w:r w:rsidR="00D72677">
              <w:rPr>
                <w:rFonts w:ascii="Arial" w:hAnsi="Arial" w:cs="Arial"/>
                <w:sz w:val="18"/>
                <w:szCs w:val="18"/>
              </w:rPr>
              <w:t>)</w:t>
            </w:r>
            <w:r w:rsidR="00115361">
              <w:rPr>
                <w:rFonts w:ascii="Arial" w:hAnsi="Arial" w:cs="Arial"/>
                <w:sz w:val="18"/>
                <w:szCs w:val="18"/>
              </w:rPr>
              <w:t>.</w:t>
            </w:r>
          </w:p>
        </w:tc>
        <w:tc>
          <w:tcPr>
            <w:tcW w:w="2522" w:type="dxa"/>
          </w:tcPr>
          <w:p w14:paraId="65136194" w14:textId="200C1A2F" w:rsidR="000C39CF" w:rsidRPr="00E109DF" w:rsidRDefault="000C39CF" w:rsidP="000C39CF">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C39CF" w:rsidRPr="009872F3" w14:paraId="07CD0891" w14:textId="77777777" w:rsidTr="0096765A">
        <w:trPr>
          <w:trHeight w:val="294"/>
        </w:trPr>
        <w:tc>
          <w:tcPr>
            <w:tcW w:w="417" w:type="dxa"/>
          </w:tcPr>
          <w:p w14:paraId="46719E76" w14:textId="42553C50" w:rsidR="000C39CF" w:rsidRPr="009872F3" w:rsidRDefault="00201E84" w:rsidP="000C39CF">
            <w:pPr>
              <w:jc w:val="both"/>
              <w:rPr>
                <w:rFonts w:ascii="Arial" w:hAnsi="Arial" w:cs="Arial"/>
                <w:sz w:val="18"/>
                <w:szCs w:val="18"/>
              </w:rPr>
            </w:pPr>
            <w:r>
              <w:rPr>
                <w:rFonts w:ascii="Arial" w:hAnsi="Arial" w:cs="Arial"/>
                <w:sz w:val="18"/>
                <w:szCs w:val="18"/>
              </w:rPr>
              <w:t>5</w:t>
            </w:r>
          </w:p>
        </w:tc>
        <w:tc>
          <w:tcPr>
            <w:tcW w:w="6379" w:type="dxa"/>
            <w:gridSpan w:val="4"/>
          </w:tcPr>
          <w:p w14:paraId="0FD8E618" w14:textId="360B2E2B" w:rsidR="000C39CF" w:rsidRPr="00CB06D0" w:rsidRDefault="000C39CF" w:rsidP="000C39CF">
            <w:pPr>
              <w:jc w:val="both"/>
              <w:rPr>
                <w:rFonts w:ascii="Arial" w:hAnsi="Arial" w:cs="Arial"/>
                <w:sz w:val="18"/>
                <w:szCs w:val="18"/>
              </w:rPr>
            </w:pPr>
            <w:r>
              <w:rPr>
                <w:rFonts w:ascii="Arial" w:hAnsi="Arial" w:cs="Arial"/>
                <w:sz w:val="18"/>
                <w:szCs w:val="18"/>
              </w:rPr>
              <w:t xml:space="preserve">Bestätigung, dass </w:t>
            </w:r>
            <w:r w:rsidRPr="006E3054">
              <w:rPr>
                <w:rFonts w:ascii="Arial" w:hAnsi="Arial" w:cs="Arial"/>
                <w:sz w:val="18"/>
                <w:szCs w:val="18"/>
              </w:rPr>
              <w:t xml:space="preserve">interne Verfahren die gruppeninterne Bereitstellung von Diensten und Einrichtungen gemäss Art. 84 SAG </w:t>
            </w:r>
            <w:r>
              <w:rPr>
                <w:rFonts w:ascii="Arial" w:hAnsi="Arial" w:cs="Arial"/>
                <w:sz w:val="18"/>
                <w:szCs w:val="18"/>
              </w:rPr>
              <w:t xml:space="preserve">sowohl aktiv </w:t>
            </w:r>
            <w:r>
              <w:rPr>
                <w:rFonts w:ascii="Arial" w:hAnsi="Arial" w:cs="Arial"/>
                <w:sz w:val="18"/>
                <w:szCs w:val="18"/>
              </w:rPr>
              <w:lastRenderedPageBreak/>
              <w:t xml:space="preserve">(Abwicklungseinheit als Dienstleister) als auch passiv (Abwicklungseinheit als Dienstleistungsnehmer) </w:t>
            </w:r>
            <w:r w:rsidR="000C68AF">
              <w:rPr>
                <w:rFonts w:ascii="Arial" w:hAnsi="Arial" w:cs="Arial"/>
                <w:sz w:val="18"/>
                <w:szCs w:val="18"/>
              </w:rPr>
              <w:t>ermöglichen</w:t>
            </w:r>
            <w:r w:rsidRPr="006E3054">
              <w:rPr>
                <w:rFonts w:ascii="Arial" w:hAnsi="Arial" w:cs="Arial"/>
                <w:sz w:val="18"/>
                <w:szCs w:val="18"/>
              </w:rPr>
              <w:t>.</w:t>
            </w:r>
          </w:p>
        </w:tc>
        <w:tc>
          <w:tcPr>
            <w:tcW w:w="2522" w:type="dxa"/>
          </w:tcPr>
          <w:p w14:paraId="0EFFD64D" w14:textId="03164812" w:rsidR="000C39CF" w:rsidRPr="00E109DF" w:rsidRDefault="000C39CF" w:rsidP="000C39CF">
            <w:pPr>
              <w:jc w:val="both"/>
              <w:rPr>
                <w:rFonts w:ascii="Arial" w:hAnsi="Arial" w:cs="Arial"/>
                <w:i/>
                <w:sz w:val="18"/>
                <w:szCs w:val="18"/>
                <w:highlight w:val="yellow"/>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285581" w14:textId="40C0390D" w:rsidR="4A737A38" w:rsidRDefault="4A737A38" w:rsidP="4A737A38">
      <w:pPr>
        <w:pStyle w:val="FINMAGliederungEbene1"/>
        <w:numPr>
          <w:ilvl w:val="0"/>
          <w:numId w:val="0"/>
        </w:numPr>
      </w:pPr>
    </w:p>
    <w:tbl>
      <w:tblPr>
        <w:tblStyle w:val="Tabellenraster"/>
        <w:tblW w:w="0" w:type="auto"/>
        <w:tblLook w:val="04A0" w:firstRow="1" w:lastRow="0" w:firstColumn="1" w:lastColumn="0" w:noHBand="0" w:noVBand="1"/>
      </w:tblPr>
      <w:tblGrid>
        <w:gridCol w:w="1980"/>
        <w:gridCol w:w="7371"/>
      </w:tblGrid>
      <w:tr w:rsidR="00343BBB" w14:paraId="2933306E" w14:textId="77777777" w:rsidTr="0096765A">
        <w:trPr>
          <w:trHeight w:val="300"/>
        </w:trPr>
        <w:tc>
          <w:tcPr>
            <w:tcW w:w="1980" w:type="dxa"/>
          </w:tcPr>
          <w:p w14:paraId="4FD1AF0C" w14:textId="77777777" w:rsidR="00343BBB" w:rsidRDefault="00343BBB">
            <w:pPr>
              <w:jc w:val="both"/>
              <w:rPr>
                <w:rFonts w:ascii="Arial" w:hAnsi="Arial" w:cs="Arial"/>
                <w:b/>
                <w:bCs/>
                <w:i/>
                <w:iCs/>
                <w:sz w:val="18"/>
                <w:szCs w:val="18"/>
              </w:rPr>
            </w:pPr>
            <w:r w:rsidRPr="4A737A38">
              <w:rPr>
                <w:rFonts w:ascii="Arial" w:hAnsi="Arial" w:cs="Arial"/>
                <w:b/>
                <w:bCs/>
                <w:i/>
                <w:iCs/>
                <w:sz w:val="18"/>
                <w:szCs w:val="18"/>
              </w:rPr>
              <w:t>Prüfelemente</w:t>
            </w:r>
          </w:p>
        </w:tc>
        <w:tc>
          <w:tcPr>
            <w:tcW w:w="7371" w:type="dxa"/>
          </w:tcPr>
          <w:p w14:paraId="3A3548B6" w14:textId="77777777" w:rsidR="00343BBB" w:rsidRDefault="00343BBB">
            <w:pPr>
              <w:jc w:val="both"/>
              <w:rPr>
                <w:rFonts w:ascii="Arial" w:hAnsi="Arial" w:cs="Arial"/>
                <w:b/>
                <w:bCs/>
                <w:i/>
                <w:iCs/>
                <w:sz w:val="18"/>
                <w:szCs w:val="18"/>
              </w:rPr>
            </w:pPr>
            <w:r w:rsidRPr="4A737A38">
              <w:rPr>
                <w:rFonts w:ascii="Arial" w:hAnsi="Arial" w:cs="Arial"/>
                <w:b/>
                <w:bCs/>
                <w:i/>
                <w:iCs/>
                <w:sz w:val="18"/>
                <w:szCs w:val="18"/>
              </w:rPr>
              <w:t>Mindestprüfinhalte («Muster»)</w:t>
            </w:r>
          </w:p>
        </w:tc>
      </w:tr>
      <w:tr w:rsidR="00343BBB" w14:paraId="73B9ABB7" w14:textId="77777777" w:rsidTr="0096765A">
        <w:trPr>
          <w:trHeight w:val="300"/>
        </w:trPr>
        <w:tc>
          <w:tcPr>
            <w:tcW w:w="1980" w:type="dxa"/>
          </w:tcPr>
          <w:p w14:paraId="2BD5BC49" w14:textId="77777777" w:rsidR="00343BBB" w:rsidRDefault="00343BBB">
            <w:pPr>
              <w:spacing w:line="259" w:lineRule="auto"/>
              <w:jc w:val="both"/>
              <w:rPr>
                <w:rFonts w:ascii="Arial" w:hAnsi="Arial" w:cs="Arial"/>
                <w:i/>
                <w:iCs/>
                <w:sz w:val="18"/>
                <w:szCs w:val="18"/>
              </w:rPr>
            </w:pPr>
            <w:r w:rsidRPr="4A737A38">
              <w:rPr>
                <w:rFonts w:ascii="Arial" w:eastAsia="Arial" w:hAnsi="Arial" w:cs="Arial"/>
                <w:i/>
                <w:iCs/>
                <w:sz w:val="18"/>
                <w:szCs w:val="18"/>
              </w:rPr>
              <w:t xml:space="preserve">Interne Organisation </w:t>
            </w:r>
          </w:p>
        </w:tc>
        <w:tc>
          <w:tcPr>
            <w:tcW w:w="7371" w:type="dxa"/>
          </w:tcPr>
          <w:p w14:paraId="41A50B92" w14:textId="77777777" w:rsidR="00343BBB" w:rsidRDefault="00343BBB">
            <w:pPr>
              <w:pStyle w:val="Listenabsatz"/>
              <w:numPr>
                <w:ilvl w:val="1"/>
                <w:numId w:val="10"/>
              </w:numPr>
              <w:spacing w:line="259" w:lineRule="auto"/>
              <w:ind w:left="317" w:hanging="283"/>
              <w:jc w:val="both"/>
              <w:rPr>
                <w:rFonts w:cs="Arial"/>
                <w:i/>
                <w:iCs/>
                <w:sz w:val="18"/>
                <w:szCs w:val="18"/>
              </w:rPr>
            </w:pPr>
            <w:r w:rsidRPr="5BDDCDE6">
              <w:rPr>
                <w:rFonts w:cs="Arial"/>
                <w:i/>
                <w:iCs/>
                <w:sz w:val="18"/>
                <w:szCs w:val="18"/>
              </w:rPr>
              <w:t>Die interne Organisationsstruktur (z.B. Weisungswesen, technische und personelle und fachliche Ressourcen) stellt sicher, dass Verfahren existieren, welche die Durchführbarkeit des Abwicklungsplans im Bedarfsfall ermöglichen</w:t>
            </w:r>
          </w:p>
        </w:tc>
      </w:tr>
      <w:tr w:rsidR="00343BBB" w14:paraId="3AE494DD" w14:textId="77777777" w:rsidTr="0096765A">
        <w:trPr>
          <w:trHeight w:val="300"/>
        </w:trPr>
        <w:tc>
          <w:tcPr>
            <w:tcW w:w="1980" w:type="dxa"/>
          </w:tcPr>
          <w:p w14:paraId="34FD76DB" w14:textId="77777777" w:rsidR="00343BBB" w:rsidRDefault="00343BBB">
            <w:pPr>
              <w:spacing w:line="259" w:lineRule="auto"/>
              <w:jc w:val="both"/>
              <w:rPr>
                <w:rFonts w:ascii="Arial" w:hAnsi="Arial" w:cs="Arial"/>
                <w:i/>
                <w:iCs/>
                <w:sz w:val="18"/>
                <w:szCs w:val="18"/>
              </w:rPr>
            </w:pPr>
            <w:r w:rsidRPr="4A737A38">
              <w:rPr>
                <w:rFonts w:ascii="Arial" w:eastAsia="Arial" w:hAnsi="Arial" w:cs="Arial"/>
                <w:i/>
                <w:iCs/>
                <w:sz w:val="18"/>
                <w:szCs w:val="18"/>
              </w:rPr>
              <w:t>Internes Kontrollsystem, Prozesse und Berichterstattung</w:t>
            </w:r>
          </w:p>
        </w:tc>
        <w:tc>
          <w:tcPr>
            <w:tcW w:w="7371" w:type="dxa"/>
          </w:tcPr>
          <w:p w14:paraId="7AC56E45" w14:textId="77777777" w:rsidR="00343BBB" w:rsidRDefault="00343BBB">
            <w:pPr>
              <w:pStyle w:val="Listenabsatz"/>
              <w:numPr>
                <w:ilvl w:val="0"/>
                <w:numId w:val="14"/>
              </w:numPr>
              <w:spacing w:line="259" w:lineRule="auto"/>
              <w:ind w:left="317" w:hanging="283"/>
              <w:jc w:val="both"/>
              <w:rPr>
                <w:i/>
                <w:iCs/>
                <w:szCs w:val="20"/>
              </w:rPr>
            </w:pPr>
            <w:r w:rsidRPr="4A737A38">
              <w:rPr>
                <w:rFonts w:cs="Arial"/>
                <w:i/>
                <w:iCs/>
                <w:sz w:val="18"/>
                <w:szCs w:val="18"/>
              </w:rPr>
              <w:t xml:space="preserve">Die internen Verfahren sehen die Anwendung des 4-Augen-Prinzips </w:t>
            </w:r>
            <w:r>
              <w:rPr>
                <w:rFonts w:cs="Arial"/>
                <w:i/>
                <w:iCs/>
                <w:sz w:val="18"/>
                <w:szCs w:val="18"/>
              </w:rPr>
              <w:t>bzw.</w:t>
            </w:r>
            <w:r w:rsidRPr="4A737A38">
              <w:rPr>
                <w:rFonts w:cs="Arial"/>
                <w:i/>
                <w:iCs/>
                <w:sz w:val="18"/>
                <w:szCs w:val="18"/>
              </w:rPr>
              <w:t xml:space="preserve"> Funktionstrennung bei Schlüsselkontrollen vor </w:t>
            </w:r>
          </w:p>
          <w:p w14:paraId="03244E8C" w14:textId="77777777" w:rsidR="00343BBB" w:rsidRDefault="00343BBB">
            <w:pPr>
              <w:pStyle w:val="Listenabsatz"/>
              <w:numPr>
                <w:ilvl w:val="0"/>
                <w:numId w:val="14"/>
              </w:numPr>
              <w:spacing w:line="259" w:lineRule="auto"/>
              <w:ind w:left="317" w:hanging="283"/>
              <w:jc w:val="both"/>
              <w:rPr>
                <w:i/>
                <w:iCs/>
                <w:szCs w:val="20"/>
              </w:rPr>
            </w:pPr>
            <w:r w:rsidRPr="4A737A38">
              <w:rPr>
                <w:rFonts w:cs="Arial"/>
                <w:i/>
                <w:iCs/>
                <w:sz w:val="18"/>
                <w:szCs w:val="18"/>
              </w:rPr>
              <w:t xml:space="preserve">Die internen Verfahren zur Aufrechterhaltung kritischer Funktionen </w:t>
            </w:r>
            <w:r>
              <w:rPr>
                <w:rFonts w:cs="Arial"/>
                <w:i/>
                <w:iCs/>
                <w:sz w:val="18"/>
                <w:szCs w:val="18"/>
              </w:rPr>
              <w:t>stehen im Einklang mit</w:t>
            </w:r>
            <w:r w:rsidRPr="4A737A38">
              <w:rPr>
                <w:rFonts w:cs="Arial"/>
                <w:i/>
                <w:iCs/>
                <w:sz w:val="18"/>
                <w:szCs w:val="18"/>
              </w:rPr>
              <w:t xml:space="preserve"> dem BCM</w:t>
            </w:r>
          </w:p>
          <w:p w14:paraId="22E5FF8B" w14:textId="77777777" w:rsidR="00343BBB" w:rsidRDefault="00343BBB">
            <w:pPr>
              <w:pStyle w:val="Listenabsatz"/>
              <w:numPr>
                <w:ilvl w:val="0"/>
                <w:numId w:val="14"/>
              </w:numPr>
              <w:spacing w:line="259" w:lineRule="auto"/>
              <w:ind w:left="317" w:hanging="283"/>
              <w:jc w:val="both"/>
              <w:rPr>
                <w:rFonts w:cs="Arial"/>
                <w:i/>
                <w:iCs/>
                <w:sz w:val="18"/>
                <w:szCs w:val="18"/>
              </w:rPr>
            </w:pPr>
            <w:r w:rsidRPr="7718DEBD">
              <w:rPr>
                <w:rFonts w:cs="Arial"/>
                <w:i/>
                <w:iCs/>
                <w:sz w:val="18"/>
                <w:szCs w:val="18"/>
              </w:rPr>
              <w:t>Es sind Verfahren zur Zuordnung von Kerngeschäftsbereichen und kritischen Funktionen auf juristische Personen definiert</w:t>
            </w:r>
          </w:p>
          <w:p w14:paraId="6C893131" w14:textId="77777777" w:rsidR="00343BBB" w:rsidRPr="006E6632" w:rsidRDefault="00343BBB">
            <w:pPr>
              <w:pStyle w:val="Listenabsatz"/>
              <w:numPr>
                <w:ilvl w:val="0"/>
                <w:numId w:val="14"/>
              </w:numPr>
              <w:spacing w:line="259" w:lineRule="auto"/>
              <w:ind w:left="317" w:hanging="283"/>
              <w:jc w:val="both"/>
              <w:rPr>
                <w:i/>
                <w:iCs/>
                <w:szCs w:val="20"/>
              </w:rPr>
            </w:pPr>
            <w:r w:rsidRPr="4A737A38">
              <w:rPr>
                <w:rFonts w:cs="Arial"/>
                <w:i/>
                <w:iCs/>
                <w:sz w:val="18"/>
                <w:szCs w:val="18"/>
              </w:rPr>
              <w:t xml:space="preserve">Es sind Verfahren zur Aufrechterhaltung einer angemessenen Personal- und Ressourcenausstattung im Abwicklungsfall definiert </w:t>
            </w:r>
          </w:p>
          <w:p w14:paraId="66311065" w14:textId="65F7031B" w:rsidR="00343BBB" w:rsidRDefault="00343BBB">
            <w:pPr>
              <w:pStyle w:val="Listenabsatz"/>
              <w:numPr>
                <w:ilvl w:val="0"/>
                <w:numId w:val="14"/>
              </w:numPr>
              <w:spacing w:line="259" w:lineRule="auto"/>
              <w:ind w:left="317" w:hanging="283"/>
              <w:jc w:val="both"/>
              <w:rPr>
                <w:i/>
                <w:iCs/>
                <w:szCs w:val="20"/>
              </w:rPr>
            </w:pPr>
            <w:r>
              <w:rPr>
                <w:rFonts w:cs="Arial"/>
                <w:i/>
                <w:iCs/>
                <w:sz w:val="18"/>
                <w:szCs w:val="18"/>
              </w:rPr>
              <w:t xml:space="preserve">Es sind Verfahren zum jederzeitigen Zugang zu </w:t>
            </w:r>
            <w:r w:rsidRPr="4A737A38">
              <w:rPr>
                <w:rFonts w:cs="Arial"/>
                <w:i/>
                <w:iCs/>
                <w:sz w:val="18"/>
                <w:szCs w:val="18"/>
              </w:rPr>
              <w:t>betriebsnotwendigen Vermögenswerte</w:t>
            </w:r>
            <w:r>
              <w:rPr>
                <w:rFonts w:cs="Arial"/>
                <w:i/>
                <w:iCs/>
                <w:sz w:val="18"/>
                <w:szCs w:val="18"/>
              </w:rPr>
              <w:t>n definiert</w:t>
            </w:r>
          </w:p>
          <w:p w14:paraId="034EEC9B" w14:textId="77777777" w:rsidR="00343BBB" w:rsidRDefault="00343BBB">
            <w:pPr>
              <w:pStyle w:val="Listenabsatz"/>
              <w:numPr>
                <w:ilvl w:val="0"/>
                <w:numId w:val="14"/>
              </w:numPr>
              <w:spacing w:line="259" w:lineRule="auto"/>
              <w:ind w:left="317" w:hanging="283"/>
              <w:jc w:val="both"/>
              <w:rPr>
                <w:rFonts w:cs="Arial"/>
                <w:i/>
                <w:iCs/>
                <w:sz w:val="18"/>
                <w:szCs w:val="18"/>
              </w:rPr>
            </w:pPr>
            <w:r w:rsidRPr="4A737A38">
              <w:rPr>
                <w:rFonts w:cs="Arial"/>
                <w:i/>
                <w:iCs/>
                <w:sz w:val="18"/>
                <w:szCs w:val="18"/>
              </w:rPr>
              <w:t xml:space="preserve">Es sind Verfahren zur Bewertung von Dienstleistungsverträgen bezüglich ihrer Liquidations- und </w:t>
            </w:r>
            <w:proofErr w:type="spellStart"/>
            <w:r w:rsidRPr="4A737A38">
              <w:rPr>
                <w:rFonts w:cs="Arial"/>
                <w:i/>
                <w:iCs/>
                <w:sz w:val="18"/>
                <w:szCs w:val="18"/>
              </w:rPr>
              <w:t>Abwicklungsresilienz</w:t>
            </w:r>
            <w:proofErr w:type="spellEnd"/>
            <w:r w:rsidRPr="4A737A38">
              <w:rPr>
                <w:rFonts w:cs="Arial"/>
                <w:i/>
                <w:iCs/>
                <w:sz w:val="18"/>
                <w:szCs w:val="18"/>
              </w:rPr>
              <w:t xml:space="preserve"> definiert</w:t>
            </w:r>
          </w:p>
          <w:p w14:paraId="05D797BB" w14:textId="77777777" w:rsidR="00343BBB" w:rsidRDefault="00343BBB">
            <w:pPr>
              <w:pStyle w:val="Listenabsatz"/>
              <w:numPr>
                <w:ilvl w:val="1"/>
                <w:numId w:val="6"/>
              </w:numPr>
              <w:spacing w:line="259" w:lineRule="auto"/>
              <w:ind w:left="317" w:hanging="283"/>
              <w:jc w:val="both"/>
              <w:rPr>
                <w:rFonts w:cs="Arial"/>
                <w:i/>
                <w:iCs/>
                <w:sz w:val="18"/>
                <w:szCs w:val="18"/>
              </w:rPr>
            </w:pPr>
            <w:r w:rsidRPr="4A737A38">
              <w:rPr>
                <w:rFonts w:cs="Arial"/>
                <w:i/>
                <w:iCs/>
                <w:sz w:val="18"/>
                <w:szCs w:val="18"/>
              </w:rPr>
              <w:t>Es sind Verfahren zur gruppeninternen Bereitstellung von Diensten und Einrichtungen im Abwicklungsfall definiert</w:t>
            </w:r>
          </w:p>
        </w:tc>
      </w:tr>
    </w:tbl>
    <w:p w14:paraId="0DB2AE16" w14:textId="6D4853EA" w:rsidR="009C13AD" w:rsidRDefault="009C13AD" w:rsidP="4A737A38">
      <w:pPr>
        <w:pStyle w:val="FINMAGliederungEbene1"/>
        <w:numPr>
          <w:ilvl w:val="0"/>
          <w:numId w:val="0"/>
        </w:numPr>
      </w:pPr>
    </w:p>
    <w:p w14:paraId="727E7955" w14:textId="62B8E1CF" w:rsidR="00321DB7" w:rsidRDefault="007C02AE" w:rsidP="00C37D08">
      <w:pPr>
        <w:pStyle w:val="FINMAGliederungEbene2"/>
      </w:pPr>
      <w:bookmarkStart w:id="31" w:name="_Toc140849827"/>
      <w:bookmarkStart w:id="32" w:name="_Toc141095446"/>
      <w:bookmarkStart w:id="33" w:name="_Toc141284984"/>
      <w:bookmarkStart w:id="34" w:name="_Toc140849849"/>
      <w:bookmarkStart w:id="35" w:name="_Toc141095468"/>
      <w:bookmarkStart w:id="36" w:name="_Toc141285006"/>
      <w:bookmarkStart w:id="37" w:name="_Toc140849871"/>
      <w:bookmarkStart w:id="38" w:name="_Toc141095490"/>
      <w:bookmarkStart w:id="39" w:name="_Toc141285028"/>
      <w:bookmarkStart w:id="40" w:name="_Toc140849872"/>
      <w:bookmarkStart w:id="41" w:name="_Toc141095491"/>
      <w:bookmarkStart w:id="42" w:name="_Toc141285029"/>
      <w:bookmarkStart w:id="43" w:name="_Toc140849883"/>
      <w:bookmarkStart w:id="44" w:name="_Toc141095502"/>
      <w:bookmarkStart w:id="45" w:name="_Toc141285040"/>
      <w:bookmarkStart w:id="46" w:name="_Toc140849884"/>
      <w:bookmarkStart w:id="47" w:name="_Toc141095503"/>
      <w:bookmarkStart w:id="48" w:name="_Toc141285041"/>
      <w:bookmarkStart w:id="49" w:name="_Toc140849885"/>
      <w:bookmarkStart w:id="50" w:name="_Toc141095504"/>
      <w:bookmarkStart w:id="51" w:name="_Toc141285042"/>
      <w:bookmarkStart w:id="52" w:name="_Toc140849886"/>
      <w:bookmarkStart w:id="53" w:name="_Toc141095505"/>
      <w:bookmarkStart w:id="54" w:name="_Toc141285043"/>
      <w:bookmarkStart w:id="55" w:name="_Toc139361778"/>
      <w:bookmarkStart w:id="56" w:name="_Toc139361821"/>
      <w:bookmarkStart w:id="57" w:name="_Toc14714145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Verlustabsorption und Rekapitalisierung</w:t>
      </w:r>
      <w:bookmarkEnd w:id="57"/>
    </w:p>
    <w:p w14:paraId="09527E16" w14:textId="77777777" w:rsidR="00A63A2D" w:rsidRPr="006067FE" w:rsidRDefault="00A63A2D" w:rsidP="00A63A2D">
      <w:pPr>
        <w:jc w:val="both"/>
      </w:pPr>
    </w:p>
    <w:tbl>
      <w:tblPr>
        <w:tblStyle w:val="Tabellenraster"/>
        <w:tblW w:w="0" w:type="auto"/>
        <w:tblLook w:val="04A0" w:firstRow="1" w:lastRow="0" w:firstColumn="1" w:lastColumn="0" w:noHBand="0" w:noVBand="1"/>
      </w:tblPr>
      <w:tblGrid>
        <w:gridCol w:w="317"/>
        <w:gridCol w:w="1653"/>
        <w:gridCol w:w="2145"/>
        <w:gridCol w:w="1721"/>
        <w:gridCol w:w="860"/>
        <w:gridCol w:w="2522"/>
      </w:tblGrid>
      <w:tr w:rsidR="00A63A2D" w:rsidRPr="009872F3" w14:paraId="25CB6F47" w14:textId="77777777" w:rsidTr="5BDDCDE6">
        <w:trPr>
          <w:trHeight w:val="563"/>
        </w:trPr>
        <w:tc>
          <w:tcPr>
            <w:tcW w:w="1970" w:type="dxa"/>
            <w:gridSpan w:val="2"/>
            <w:shd w:val="clear" w:color="auto" w:fill="DBE5F1" w:themeFill="accent1" w:themeFillTint="33"/>
          </w:tcPr>
          <w:p w14:paraId="3CBBCE76" w14:textId="77777777" w:rsidR="00A63A2D" w:rsidRPr="009872F3" w:rsidRDefault="00A63A2D" w:rsidP="00C747F0">
            <w:pPr>
              <w:jc w:val="both"/>
              <w:rPr>
                <w:rFonts w:ascii="Arial" w:hAnsi="Arial" w:cs="Arial"/>
                <w:sz w:val="18"/>
                <w:szCs w:val="18"/>
              </w:rPr>
            </w:pPr>
            <w:r w:rsidRPr="009872F3">
              <w:rPr>
                <w:rFonts w:ascii="Arial" w:hAnsi="Arial" w:cs="Arial"/>
                <w:sz w:val="18"/>
                <w:szCs w:val="18"/>
              </w:rPr>
              <w:t>Nettorisiko</w:t>
            </w:r>
          </w:p>
        </w:tc>
        <w:tc>
          <w:tcPr>
            <w:tcW w:w="2145" w:type="dxa"/>
            <w:shd w:val="clear" w:color="auto" w:fill="DBE5F1" w:themeFill="accent1" w:themeFillTint="33"/>
          </w:tcPr>
          <w:p w14:paraId="0BEC4EC0" w14:textId="77777777" w:rsidR="00A63A2D" w:rsidRPr="009872F3" w:rsidRDefault="00A63A2D" w:rsidP="00C747F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0395D2FA" w14:textId="77777777" w:rsidR="00A63A2D" w:rsidRPr="009872F3" w:rsidRDefault="00A63A2D" w:rsidP="00C747F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63A2D" w:rsidRPr="009872F3" w14:paraId="703CD951" w14:textId="77777777" w:rsidTr="5BDDCDE6">
        <w:trPr>
          <w:trHeight w:val="698"/>
        </w:trPr>
        <w:tc>
          <w:tcPr>
            <w:tcW w:w="1970" w:type="dxa"/>
            <w:gridSpan w:val="2"/>
            <w:shd w:val="clear" w:color="auto" w:fill="DBE5F1" w:themeFill="accent1" w:themeFillTint="33"/>
          </w:tcPr>
          <w:p w14:paraId="0878C1F3" w14:textId="77777777" w:rsidR="00A63A2D" w:rsidRPr="006749F0" w:rsidRDefault="00A63A2D" w:rsidP="00C747F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1BB541E0" w14:textId="77777777" w:rsidR="00A63A2D" w:rsidRPr="006749F0" w:rsidRDefault="00A63A2D" w:rsidP="00C747F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13ACE381" w14:textId="77777777" w:rsidR="00A63A2D" w:rsidRPr="009872F3" w:rsidRDefault="00A63A2D" w:rsidP="00C747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6AA07705" w14:textId="77777777" w:rsidR="00A63A2D" w:rsidRDefault="00A63A2D" w:rsidP="00C747F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02ECA2" w14:textId="77777777" w:rsidR="00A63A2D" w:rsidRPr="006749F0" w:rsidRDefault="00A63A2D" w:rsidP="00C747F0">
            <w:pPr>
              <w:jc w:val="both"/>
              <w:rPr>
                <w:rFonts w:ascii="Arial" w:hAnsi="Arial" w:cs="Arial"/>
                <w:i/>
                <w:sz w:val="18"/>
                <w:szCs w:val="18"/>
              </w:rPr>
            </w:pPr>
            <w:r w:rsidRPr="006749F0">
              <w:rPr>
                <w:rFonts w:ascii="Arial" w:hAnsi="Arial" w:cs="Arial"/>
                <w:i/>
                <w:sz w:val="18"/>
                <w:szCs w:val="18"/>
                <w:highlight w:val="yellow"/>
              </w:rPr>
              <w:t>Jahr</w:t>
            </w:r>
          </w:p>
        </w:tc>
      </w:tr>
      <w:tr w:rsidR="00A63A2D" w:rsidRPr="006A08D2" w14:paraId="1F2DC44B" w14:textId="77777777" w:rsidTr="5BDDCDE6">
        <w:trPr>
          <w:trHeight w:val="636"/>
        </w:trPr>
        <w:tc>
          <w:tcPr>
            <w:tcW w:w="9218" w:type="dxa"/>
            <w:gridSpan w:val="6"/>
            <w:shd w:val="clear" w:color="auto" w:fill="DBE5F1" w:themeFill="accent1" w:themeFillTint="33"/>
          </w:tcPr>
          <w:p w14:paraId="2901A9D1" w14:textId="77777777" w:rsidR="00DD758F" w:rsidRPr="00DD758F" w:rsidRDefault="00DD758F" w:rsidP="00DD758F">
            <w:pPr>
              <w:jc w:val="both"/>
              <w:rPr>
                <w:rFonts w:ascii="Arial" w:hAnsi="Arial" w:cs="Arial"/>
                <w:i/>
                <w:sz w:val="18"/>
                <w:szCs w:val="18"/>
              </w:rPr>
            </w:pPr>
            <w:r w:rsidRPr="00DD758F">
              <w:rPr>
                <w:rFonts w:ascii="Arial" w:hAnsi="Arial" w:cs="Arial"/>
                <w:i/>
                <w:sz w:val="18"/>
                <w:szCs w:val="18"/>
              </w:rPr>
              <w:t>Referenzen (demonstrativ):</w:t>
            </w:r>
          </w:p>
          <w:p w14:paraId="1D90828B" w14:textId="7151AD32" w:rsidR="00B56AC5" w:rsidRDefault="00B56AC5" w:rsidP="005A78D2">
            <w:pPr>
              <w:pStyle w:val="Listenabsatz"/>
              <w:numPr>
                <w:ilvl w:val="0"/>
                <w:numId w:val="9"/>
              </w:numPr>
              <w:ind w:left="308"/>
              <w:jc w:val="both"/>
              <w:rPr>
                <w:rFonts w:cs="Arial"/>
                <w:sz w:val="18"/>
                <w:szCs w:val="18"/>
              </w:rPr>
            </w:pPr>
            <w:r>
              <w:rPr>
                <w:rFonts w:cs="Arial"/>
                <w:sz w:val="18"/>
                <w:szCs w:val="18"/>
              </w:rPr>
              <w:t>Art. 55 und 78 SAG</w:t>
            </w:r>
          </w:p>
          <w:p w14:paraId="043400EC" w14:textId="1A776BC8" w:rsidR="00A84D51" w:rsidRPr="00467B85" w:rsidRDefault="00A84D51" w:rsidP="005A78D2">
            <w:pPr>
              <w:pStyle w:val="Listenabsatz"/>
              <w:numPr>
                <w:ilvl w:val="0"/>
                <w:numId w:val="9"/>
              </w:numPr>
              <w:ind w:left="308"/>
              <w:jc w:val="both"/>
              <w:rPr>
                <w:rFonts w:cs="Arial"/>
                <w:sz w:val="18"/>
                <w:szCs w:val="18"/>
              </w:rPr>
            </w:pPr>
            <w:r w:rsidRPr="00467B85">
              <w:rPr>
                <w:rFonts w:cs="Arial"/>
                <w:sz w:val="18"/>
                <w:szCs w:val="18"/>
              </w:rPr>
              <w:t xml:space="preserve">Teil 2 Kapitel 5a der Verordnung (EU) Nr. 575/2013 des Europäischen Parlaments und des Rates vom 26. Juni 2013 über Aufsichtsanforderungen an Kreditinstitute und Wertpapierfirmen («CRR») </w:t>
            </w:r>
          </w:p>
          <w:p w14:paraId="01EB3EE8" w14:textId="309929DA" w:rsidR="008F519B" w:rsidRPr="00997881" w:rsidRDefault="008F519B" w:rsidP="00C37D08">
            <w:pPr>
              <w:pStyle w:val="Listenabsatz"/>
              <w:numPr>
                <w:ilvl w:val="0"/>
                <w:numId w:val="9"/>
              </w:numPr>
              <w:ind w:left="308"/>
              <w:jc w:val="both"/>
              <w:rPr>
                <w:rFonts w:cs="Arial"/>
                <w:sz w:val="18"/>
                <w:szCs w:val="18"/>
              </w:rPr>
            </w:pPr>
            <w:r w:rsidRPr="008F519B">
              <w:rPr>
                <w:rFonts w:cs="Arial"/>
                <w:sz w:val="18"/>
                <w:szCs w:val="18"/>
              </w:rPr>
              <w:t>Delegierte Verordnung (EU) 2016/860 der Kommission vom 4. Februar 2016 zur Präzisierung der Umstände, unter denen ein Ausschluss aus dem Anwendungsbereich der Herabschreibungs- oder Umwandlungsbefugnisse gemäß Artikel 44 Absatz 3 der Richtlinie 2014/59/EU des Europäischen Parlaments und des Rates zur Festlegung eines Rahmens für die Sanierung und Abwicklung von Kreditinstituten und Wertpapierfirmen erforderlich ist</w:t>
            </w:r>
          </w:p>
          <w:p w14:paraId="2A5266EC" w14:textId="66BE0B6B" w:rsidR="004861C4" w:rsidRDefault="004861C4" w:rsidP="00C37D08">
            <w:pPr>
              <w:pStyle w:val="Listenabsatz"/>
              <w:numPr>
                <w:ilvl w:val="0"/>
                <w:numId w:val="9"/>
              </w:numPr>
              <w:ind w:left="308"/>
              <w:jc w:val="both"/>
              <w:rPr>
                <w:rFonts w:cs="Arial"/>
                <w:sz w:val="18"/>
                <w:szCs w:val="18"/>
              </w:rPr>
            </w:pPr>
            <w:r w:rsidRPr="004861C4">
              <w:rPr>
                <w:rFonts w:cs="Arial"/>
                <w:sz w:val="18"/>
                <w:szCs w:val="18"/>
              </w:rPr>
              <w:t>Delegierte Verordnung (EU) Nr. 241/2014 der Kommission vom 7. Januar 2014 zur Ergänzung der Verordnung (EU) Nr. 575/2013 des Europäischen Parlaments und des Rates im Hinblick auf technische Regulierungsstandards für die Eigenmittelanforderungen an Institute</w:t>
            </w:r>
          </w:p>
          <w:p w14:paraId="4C3EB4B2" w14:textId="116C87B7" w:rsidR="00B07B98" w:rsidRDefault="005F3C29" w:rsidP="00C37D08">
            <w:pPr>
              <w:pStyle w:val="Listenabsatz"/>
              <w:numPr>
                <w:ilvl w:val="0"/>
                <w:numId w:val="9"/>
              </w:numPr>
              <w:ind w:left="308"/>
              <w:jc w:val="both"/>
              <w:rPr>
                <w:rFonts w:cs="Arial"/>
                <w:sz w:val="18"/>
                <w:szCs w:val="18"/>
              </w:rPr>
            </w:pPr>
            <w:r>
              <w:rPr>
                <w:rFonts w:cs="Arial"/>
                <w:sz w:val="18"/>
                <w:szCs w:val="18"/>
              </w:rPr>
              <w:t xml:space="preserve">Delegierte Verordnung (EU) 2021/1340 zur </w:t>
            </w:r>
            <w:r w:rsidR="008D7B97">
              <w:rPr>
                <w:rFonts w:cs="Arial"/>
                <w:sz w:val="18"/>
                <w:szCs w:val="18"/>
              </w:rPr>
              <w:t>Festlegung des Inhalts der Vertragsklausel über die Anerkennung von Befugnissen zur Aussetzung bei der Abwicklung</w:t>
            </w:r>
          </w:p>
          <w:p w14:paraId="6877A0C1" w14:textId="77777777" w:rsidR="00DD758F" w:rsidRPr="00997881" w:rsidRDefault="00DD758F" w:rsidP="00C37D08">
            <w:pPr>
              <w:pStyle w:val="Listenabsatz"/>
              <w:numPr>
                <w:ilvl w:val="0"/>
                <w:numId w:val="9"/>
              </w:numPr>
              <w:ind w:left="308"/>
              <w:jc w:val="both"/>
              <w:rPr>
                <w:rFonts w:cs="Arial"/>
                <w:sz w:val="18"/>
                <w:szCs w:val="18"/>
              </w:rPr>
            </w:pPr>
            <w:r w:rsidRPr="00997881">
              <w:rPr>
                <w:rFonts w:cs="Arial"/>
                <w:sz w:val="18"/>
                <w:szCs w:val="18"/>
              </w:rPr>
              <w:t>EBA Leitlinien zur Verbesserung der Abwicklungsfähigkeit für Institute und Abwicklungsbehörden</w:t>
            </w:r>
          </w:p>
          <w:p w14:paraId="1D23AC33" w14:textId="77777777" w:rsidR="00A63A2D" w:rsidRDefault="00DD758F" w:rsidP="00543B51">
            <w:pPr>
              <w:pStyle w:val="Listenabsatz"/>
              <w:ind w:left="308"/>
              <w:jc w:val="both"/>
              <w:rPr>
                <w:rFonts w:cs="Arial"/>
                <w:sz w:val="18"/>
                <w:szCs w:val="18"/>
              </w:rPr>
            </w:pPr>
            <w:r w:rsidRPr="00997881">
              <w:rPr>
                <w:rFonts w:cs="Arial"/>
                <w:sz w:val="18"/>
                <w:szCs w:val="18"/>
              </w:rPr>
              <w:t>(Resolvability Guidelines; EBA/GL/2022/01)</w:t>
            </w:r>
          </w:p>
          <w:p w14:paraId="633BCEB8" w14:textId="3487A93F" w:rsidR="00B303A0" w:rsidRPr="00B303A0" w:rsidRDefault="00B303A0" w:rsidP="00C37D08">
            <w:pPr>
              <w:pStyle w:val="Listenabsatz"/>
              <w:numPr>
                <w:ilvl w:val="0"/>
                <w:numId w:val="9"/>
              </w:numPr>
              <w:ind w:left="308"/>
              <w:jc w:val="both"/>
              <w:rPr>
                <w:rFonts w:cs="Arial"/>
                <w:sz w:val="18"/>
                <w:szCs w:val="18"/>
              </w:rPr>
            </w:pPr>
            <w:r w:rsidRPr="00B303A0">
              <w:rPr>
                <w:rFonts w:cs="Arial"/>
                <w:sz w:val="18"/>
                <w:szCs w:val="18"/>
              </w:rPr>
              <w:t xml:space="preserve">EBA Leitlinien betreffend die </w:t>
            </w:r>
            <w:bookmarkStart w:id="58" w:name="_GoBack"/>
            <w:r w:rsidRPr="00B303A0">
              <w:rPr>
                <w:rFonts w:cs="Arial"/>
                <w:sz w:val="18"/>
                <w:szCs w:val="18"/>
              </w:rPr>
              <w:t>Quot</w:t>
            </w:r>
            <w:bookmarkEnd w:id="58"/>
            <w:r w:rsidRPr="00B303A0">
              <w:rPr>
                <w:rFonts w:cs="Arial"/>
                <w:sz w:val="18"/>
                <w:szCs w:val="18"/>
              </w:rPr>
              <w:t>e für die Umwandlung von Verbindlichkeiten in Eigenkapital beim</w:t>
            </w:r>
          </w:p>
          <w:p w14:paraId="33053AAF" w14:textId="77777777" w:rsidR="00B303A0" w:rsidRDefault="00B303A0" w:rsidP="00543B51">
            <w:pPr>
              <w:pStyle w:val="Listenabsatz"/>
              <w:ind w:left="308"/>
              <w:jc w:val="both"/>
              <w:rPr>
                <w:rFonts w:cs="Arial"/>
                <w:sz w:val="18"/>
                <w:szCs w:val="18"/>
              </w:rPr>
            </w:pPr>
            <w:r w:rsidRPr="00B303A0">
              <w:rPr>
                <w:rFonts w:cs="Arial"/>
                <w:sz w:val="18"/>
                <w:szCs w:val="18"/>
              </w:rPr>
              <w:t>Bail-in-Verfahren (EBA/GL/2017/03)</w:t>
            </w:r>
          </w:p>
          <w:p w14:paraId="2D0475F3" w14:textId="780123CC" w:rsidR="00E75BEB" w:rsidRPr="00E75BEB" w:rsidRDefault="00E75BEB" w:rsidP="0096765A">
            <w:pPr>
              <w:pStyle w:val="Listenabsatz"/>
              <w:numPr>
                <w:ilvl w:val="0"/>
                <w:numId w:val="9"/>
              </w:numPr>
              <w:ind w:left="308"/>
              <w:jc w:val="both"/>
              <w:rPr>
                <w:rFonts w:cs="Arial"/>
                <w:sz w:val="18"/>
                <w:szCs w:val="18"/>
              </w:rPr>
            </w:pPr>
            <w:r w:rsidRPr="00997881">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A63A2D" w:rsidRPr="006A08D2" w14:paraId="05A6EAA3" w14:textId="77777777" w:rsidTr="5BDDCDE6">
        <w:trPr>
          <w:trHeight w:val="294"/>
        </w:trPr>
        <w:tc>
          <w:tcPr>
            <w:tcW w:w="9218" w:type="dxa"/>
            <w:gridSpan w:val="6"/>
          </w:tcPr>
          <w:p w14:paraId="39D042FE" w14:textId="77777777" w:rsidR="00A63A2D" w:rsidRPr="00DC71A8" w:rsidRDefault="00A63A2D" w:rsidP="00C747F0">
            <w:pPr>
              <w:jc w:val="both"/>
              <w:rPr>
                <w:rFonts w:ascii="Arial" w:hAnsi="Arial" w:cs="Arial"/>
                <w:sz w:val="18"/>
                <w:szCs w:val="18"/>
              </w:rPr>
            </w:pPr>
          </w:p>
        </w:tc>
      </w:tr>
      <w:tr w:rsidR="00306DAC" w:rsidRPr="006A08D2" w14:paraId="2DFAABDD" w14:textId="77777777" w:rsidTr="5BDDCDE6">
        <w:trPr>
          <w:trHeight w:val="294"/>
        </w:trPr>
        <w:tc>
          <w:tcPr>
            <w:tcW w:w="317" w:type="dxa"/>
          </w:tcPr>
          <w:p w14:paraId="6A598C0C" w14:textId="72E03ABB" w:rsidR="00306DAC" w:rsidRPr="00DC71A8" w:rsidRDefault="00306DAC" w:rsidP="00306DAC">
            <w:pPr>
              <w:jc w:val="both"/>
              <w:rPr>
                <w:rFonts w:ascii="Arial" w:hAnsi="Arial" w:cs="Arial"/>
                <w:sz w:val="18"/>
                <w:szCs w:val="18"/>
              </w:rPr>
            </w:pPr>
            <w:r>
              <w:rPr>
                <w:rFonts w:ascii="Arial" w:hAnsi="Arial" w:cs="Arial"/>
                <w:sz w:val="18"/>
                <w:szCs w:val="18"/>
              </w:rPr>
              <w:t>1</w:t>
            </w:r>
          </w:p>
        </w:tc>
        <w:tc>
          <w:tcPr>
            <w:tcW w:w="6379" w:type="dxa"/>
            <w:gridSpan w:val="4"/>
          </w:tcPr>
          <w:p w14:paraId="085E9695" w14:textId="6DB89EB8" w:rsidR="00306DAC" w:rsidRPr="00306DAC" w:rsidRDefault="00306DAC" w:rsidP="00306DAC">
            <w:pPr>
              <w:jc w:val="both"/>
              <w:rPr>
                <w:rFonts w:ascii="Arial" w:hAnsi="Arial" w:cs="Arial"/>
                <w:sz w:val="18"/>
                <w:szCs w:val="18"/>
              </w:rPr>
            </w:pPr>
            <w:r w:rsidRPr="00306DAC">
              <w:rPr>
                <w:rFonts w:ascii="Arial" w:hAnsi="Arial" w:cs="Arial"/>
                <w:sz w:val="18"/>
                <w:szCs w:val="18"/>
              </w:rPr>
              <w:t xml:space="preserve">Bestätigung, dass die internen Verfahren in der Lage sind, die Kapazität an berücksichtigungsfähigen Verbindlichkeiten </w:t>
            </w:r>
            <w:r w:rsidR="00630AD6">
              <w:rPr>
                <w:rFonts w:ascii="Arial" w:hAnsi="Arial" w:cs="Arial"/>
                <w:sz w:val="18"/>
                <w:szCs w:val="18"/>
              </w:rPr>
              <w:t xml:space="preserve">in Einklang mit </w:t>
            </w:r>
            <w:r w:rsidR="00630AD6" w:rsidRPr="00630AD6">
              <w:rPr>
                <w:rFonts w:ascii="Arial" w:hAnsi="Arial" w:cs="Arial"/>
                <w:sz w:val="18"/>
                <w:szCs w:val="18"/>
              </w:rPr>
              <w:t xml:space="preserve">Teil 2 Kapitel 5a </w:t>
            </w:r>
            <w:r w:rsidR="00630AD6">
              <w:rPr>
                <w:rFonts w:ascii="Arial" w:hAnsi="Arial" w:cs="Arial"/>
                <w:sz w:val="18"/>
                <w:szCs w:val="18"/>
              </w:rPr>
              <w:lastRenderedPageBreak/>
              <w:t xml:space="preserve">CRR </w:t>
            </w:r>
            <w:r w:rsidRPr="00306DAC">
              <w:rPr>
                <w:rFonts w:ascii="Arial" w:hAnsi="Arial" w:cs="Arial"/>
                <w:sz w:val="18"/>
                <w:szCs w:val="18"/>
              </w:rPr>
              <w:t xml:space="preserve">jederzeit </w:t>
            </w:r>
            <w:r w:rsidR="006F42AC">
              <w:rPr>
                <w:rFonts w:ascii="Arial" w:hAnsi="Arial" w:cs="Arial"/>
                <w:sz w:val="18"/>
                <w:szCs w:val="18"/>
              </w:rPr>
              <w:t xml:space="preserve">zu </w:t>
            </w:r>
            <w:r w:rsidRPr="00306DAC">
              <w:rPr>
                <w:rFonts w:ascii="Arial" w:hAnsi="Arial" w:cs="Arial"/>
                <w:sz w:val="18"/>
                <w:szCs w:val="18"/>
              </w:rPr>
              <w:t xml:space="preserve">quantifizieren </w:t>
            </w:r>
            <w:r w:rsidR="008F3B62">
              <w:rPr>
                <w:rFonts w:ascii="Arial" w:hAnsi="Arial" w:cs="Arial"/>
                <w:sz w:val="18"/>
                <w:szCs w:val="18"/>
              </w:rPr>
              <w:t xml:space="preserve">und einzelnen Gläubigern zuordnen </w:t>
            </w:r>
            <w:r w:rsidRPr="00306DAC">
              <w:rPr>
                <w:rFonts w:ascii="Arial" w:hAnsi="Arial" w:cs="Arial"/>
                <w:sz w:val="18"/>
                <w:szCs w:val="18"/>
              </w:rPr>
              <w:t>zu können.</w:t>
            </w:r>
          </w:p>
        </w:tc>
        <w:tc>
          <w:tcPr>
            <w:tcW w:w="2522" w:type="dxa"/>
          </w:tcPr>
          <w:p w14:paraId="0FD9B4D3" w14:textId="4A27EE35" w:rsidR="00306DAC" w:rsidRPr="00DC71A8" w:rsidRDefault="00306DAC" w:rsidP="00306DAC">
            <w:pPr>
              <w:jc w:val="both"/>
              <w:rPr>
                <w:rFonts w:ascii="Arial" w:hAnsi="Arial" w:cs="Arial"/>
                <w:sz w:val="18"/>
                <w:szCs w:val="18"/>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06DAC" w:rsidRPr="006A08D2" w14:paraId="30E24A88" w14:textId="77777777" w:rsidTr="5BDDCDE6">
        <w:trPr>
          <w:trHeight w:val="294"/>
        </w:trPr>
        <w:tc>
          <w:tcPr>
            <w:tcW w:w="317" w:type="dxa"/>
          </w:tcPr>
          <w:p w14:paraId="33913627" w14:textId="1F39FF7D" w:rsidR="00306DAC" w:rsidRPr="00DC71A8" w:rsidRDefault="00306DAC" w:rsidP="00306DAC">
            <w:pPr>
              <w:jc w:val="both"/>
              <w:rPr>
                <w:rFonts w:ascii="Arial" w:hAnsi="Arial" w:cs="Arial"/>
                <w:sz w:val="18"/>
                <w:szCs w:val="18"/>
              </w:rPr>
            </w:pPr>
            <w:r>
              <w:rPr>
                <w:rFonts w:ascii="Arial" w:hAnsi="Arial" w:cs="Arial"/>
                <w:sz w:val="18"/>
                <w:szCs w:val="18"/>
              </w:rPr>
              <w:t>2</w:t>
            </w:r>
          </w:p>
        </w:tc>
        <w:tc>
          <w:tcPr>
            <w:tcW w:w="6379" w:type="dxa"/>
            <w:gridSpan w:val="4"/>
          </w:tcPr>
          <w:p w14:paraId="64D740DF" w14:textId="373CAF58" w:rsidR="00306DAC" w:rsidRPr="00306DAC" w:rsidRDefault="00306DAC" w:rsidP="00306DAC">
            <w:pPr>
              <w:jc w:val="both"/>
              <w:rPr>
                <w:rFonts w:ascii="Arial" w:hAnsi="Arial" w:cs="Arial"/>
                <w:sz w:val="18"/>
                <w:szCs w:val="18"/>
              </w:rPr>
            </w:pPr>
            <w:r w:rsidRPr="00306DAC">
              <w:rPr>
                <w:rFonts w:ascii="Arial" w:hAnsi="Arial" w:cs="Arial"/>
                <w:sz w:val="18"/>
                <w:szCs w:val="18"/>
              </w:rPr>
              <w:t xml:space="preserve">Bestätigung, dass die internen Verfahren die vollständige Herabschreibung und Umwandlung von Kapitalinstrumenten und berücksichtigungsfähigen Verbindlichkeiten gemäss Art. 78 Abs. 3 </w:t>
            </w:r>
            <w:r w:rsidR="007A2463">
              <w:rPr>
                <w:rFonts w:ascii="Arial" w:hAnsi="Arial" w:cs="Arial"/>
                <w:sz w:val="18"/>
                <w:szCs w:val="18"/>
              </w:rPr>
              <w:t xml:space="preserve">CRR </w:t>
            </w:r>
            <w:r w:rsidRPr="00306DAC">
              <w:rPr>
                <w:rFonts w:ascii="Arial" w:hAnsi="Arial" w:cs="Arial"/>
                <w:sz w:val="18"/>
                <w:szCs w:val="18"/>
              </w:rPr>
              <w:t>i</w:t>
            </w:r>
            <w:r w:rsidR="00E10D8C">
              <w:rPr>
                <w:rFonts w:ascii="Arial" w:hAnsi="Arial" w:cs="Arial"/>
                <w:sz w:val="18"/>
                <w:szCs w:val="18"/>
              </w:rPr>
              <w:t>n</w:t>
            </w:r>
            <w:r w:rsidR="006E20DE">
              <w:rPr>
                <w:rFonts w:ascii="Arial" w:hAnsi="Arial" w:cs="Arial"/>
                <w:sz w:val="18"/>
                <w:szCs w:val="18"/>
              </w:rPr>
              <w:t xml:space="preserve"> </w:t>
            </w:r>
            <w:r w:rsidRPr="00306DAC">
              <w:rPr>
                <w:rFonts w:ascii="Arial" w:hAnsi="Arial" w:cs="Arial"/>
                <w:sz w:val="18"/>
                <w:szCs w:val="18"/>
              </w:rPr>
              <w:t>V</w:t>
            </w:r>
            <w:r w:rsidR="006E20DE">
              <w:rPr>
                <w:rFonts w:ascii="Arial" w:hAnsi="Arial" w:cs="Arial"/>
                <w:sz w:val="18"/>
                <w:szCs w:val="18"/>
              </w:rPr>
              <w:t xml:space="preserve">erbindung </w:t>
            </w:r>
            <w:r w:rsidRPr="00306DAC">
              <w:rPr>
                <w:rFonts w:ascii="Arial" w:hAnsi="Arial" w:cs="Arial"/>
                <w:sz w:val="18"/>
                <w:szCs w:val="18"/>
              </w:rPr>
              <w:t>m</w:t>
            </w:r>
            <w:r w:rsidR="006E20DE">
              <w:rPr>
                <w:rFonts w:ascii="Arial" w:hAnsi="Arial" w:cs="Arial"/>
                <w:sz w:val="18"/>
                <w:szCs w:val="18"/>
              </w:rPr>
              <w:t>it</w:t>
            </w:r>
            <w:r w:rsidRPr="00306DAC">
              <w:rPr>
                <w:rFonts w:ascii="Arial" w:hAnsi="Arial" w:cs="Arial"/>
                <w:sz w:val="18"/>
                <w:szCs w:val="18"/>
              </w:rPr>
              <w:t xml:space="preserve"> Art. 49 Abs. 2 SAG </w:t>
            </w:r>
            <w:r w:rsidR="003B44EA">
              <w:rPr>
                <w:rFonts w:ascii="Arial" w:hAnsi="Arial" w:cs="Arial"/>
                <w:sz w:val="18"/>
                <w:szCs w:val="18"/>
              </w:rPr>
              <w:t>ermöglichen</w:t>
            </w:r>
            <w:r w:rsidR="00D467E5">
              <w:rPr>
                <w:rFonts w:ascii="Arial" w:hAnsi="Arial" w:cs="Arial"/>
                <w:sz w:val="18"/>
                <w:szCs w:val="18"/>
              </w:rPr>
              <w:t xml:space="preserve"> und </w:t>
            </w:r>
            <w:r w:rsidR="00D467E5" w:rsidRPr="00306DAC">
              <w:rPr>
                <w:rFonts w:ascii="Arial" w:hAnsi="Arial" w:cs="Arial"/>
                <w:sz w:val="18"/>
                <w:szCs w:val="18"/>
              </w:rPr>
              <w:t>quantifizieren</w:t>
            </w:r>
            <w:r w:rsidR="002D697F">
              <w:rPr>
                <w:rFonts w:ascii="Arial" w:hAnsi="Arial" w:cs="Arial"/>
                <w:sz w:val="18"/>
                <w:szCs w:val="18"/>
              </w:rPr>
              <w:t xml:space="preserve"> können</w:t>
            </w:r>
            <w:r w:rsidRPr="00306DAC">
              <w:rPr>
                <w:rFonts w:ascii="Arial" w:hAnsi="Arial" w:cs="Arial"/>
                <w:sz w:val="18"/>
                <w:szCs w:val="18"/>
              </w:rPr>
              <w:t>.</w:t>
            </w:r>
          </w:p>
        </w:tc>
        <w:tc>
          <w:tcPr>
            <w:tcW w:w="2522" w:type="dxa"/>
          </w:tcPr>
          <w:p w14:paraId="30E08886" w14:textId="595AF700" w:rsidR="00306DAC" w:rsidRPr="00E109DF" w:rsidRDefault="00306DAC" w:rsidP="00306DAC">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4645E" w:rsidRPr="006A08D2" w14:paraId="39991EE8" w14:textId="77777777" w:rsidTr="5BDDCDE6">
        <w:trPr>
          <w:trHeight w:val="294"/>
        </w:trPr>
        <w:tc>
          <w:tcPr>
            <w:tcW w:w="317" w:type="dxa"/>
          </w:tcPr>
          <w:p w14:paraId="45B9038C" w14:textId="42437D9A" w:rsidR="0014645E" w:rsidRDefault="0014645E" w:rsidP="00306DAC">
            <w:pPr>
              <w:jc w:val="both"/>
              <w:rPr>
                <w:rFonts w:ascii="Arial" w:hAnsi="Arial" w:cs="Arial"/>
                <w:sz w:val="18"/>
                <w:szCs w:val="18"/>
              </w:rPr>
            </w:pPr>
            <w:r>
              <w:rPr>
                <w:rFonts w:ascii="Arial" w:hAnsi="Arial" w:cs="Arial"/>
                <w:sz w:val="18"/>
                <w:szCs w:val="18"/>
              </w:rPr>
              <w:t>3</w:t>
            </w:r>
          </w:p>
        </w:tc>
        <w:tc>
          <w:tcPr>
            <w:tcW w:w="6379" w:type="dxa"/>
            <w:gridSpan w:val="4"/>
          </w:tcPr>
          <w:p w14:paraId="65C9F92F" w14:textId="72CDE100" w:rsidR="0014645E" w:rsidRPr="00306DAC" w:rsidRDefault="0014645E" w:rsidP="00306DAC">
            <w:pPr>
              <w:jc w:val="both"/>
              <w:rPr>
                <w:rFonts w:ascii="Arial" w:hAnsi="Arial" w:cs="Arial"/>
                <w:sz w:val="18"/>
                <w:szCs w:val="18"/>
              </w:rPr>
            </w:pPr>
            <w:r w:rsidRPr="00306DAC">
              <w:rPr>
                <w:rFonts w:ascii="Arial" w:hAnsi="Arial" w:cs="Arial"/>
                <w:sz w:val="18"/>
                <w:szCs w:val="18"/>
              </w:rPr>
              <w:t xml:space="preserve">Bestätigung, dass </w:t>
            </w:r>
            <w:r w:rsidR="00716AAE">
              <w:rPr>
                <w:rFonts w:ascii="Arial" w:hAnsi="Arial" w:cs="Arial"/>
                <w:sz w:val="18"/>
                <w:szCs w:val="18"/>
              </w:rPr>
              <w:t xml:space="preserve">keine Hinweise </w:t>
            </w:r>
            <w:r w:rsidR="00C7174A">
              <w:rPr>
                <w:rFonts w:ascii="Arial" w:hAnsi="Arial" w:cs="Arial"/>
                <w:sz w:val="18"/>
                <w:szCs w:val="18"/>
              </w:rPr>
              <w:t>auf Einschränkungen</w:t>
            </w:r>
            <w:r w:rsidR="00B75CD1">
              <w:rPr>
                <w:rFonts w:ascii="Arial" w:hAnsi="Arial" w:cs="Arial"/>
                <w:sz w:val="18"/>
                <w:szCs w:val="18"/>
              </w:rPr>
              <w:t xml:space="preserve"> </w:t>
            </w:r>
            <w:r w:rsidR="006D117A">
              <w:rPr>
                <w:rFonts w:ascii="Arial" w:hAnsi="Arial" w:cs="Arial"/>
                <w:sz w:val="18"/>
                <w:szCs w:val="18"/>
              </w:rPr>
              <w:t>zur</w:t>
            </w:r>
            <w:r w:rsidR="00B75CD1">
              <w:rPr>
                <w:rFonts w:ascii="Arial" w:hAnsi="Arial" w:cs="Arial"/>
                <w:sz w:val="18"/>
                <w:szCs w:val="18"/>
              </w:rPr>
              <w:t xml:space="preserve"> Anwendung</w:t>
            </w:r>
            <w:r w:rsidR="00D86CBD">
              <w:rPr>
                <w:rFonts w:ascii="Arial" w:hAnsi="Arial" w:cs="Arial"/>
                <w:sz w:val="18"/>
                <w:szCs w:val="18"/>
              </w:rPr>
              <w:t xml:space="preserve"> </w:t>
            </w:r>
            <w:r w:rsidR="006D117A">
              <w:rPr>
                <w:rFonts w:ascii="Arial" w:hAnsi="Arial" w:cs="Arial"/>
                <w:sz w:val="18"/>
                <w:szCs w:val="18"/>
              </w:rPr>
              <w:t xml:space="preserve">des </w:t>
            </w:r>
            <w:r w:rsidR="00E87AC3">
              <w:rPr>
                <w:rFonts w:ascii="Arial" w:hAnsi="Arial" w:cs="Arial"/>
                <w:sz w:val="18"/>
                <w:szCs w:val="18"/>
              </w:rPr>
              <w:t xml:space="preserve">Bail-in </w:t>
            </w:r>
            <w:r w:rsidR="00510966">
              <w:rPr>
                <w:rFonts w:ascii="Arial" w:hAnsi="Arial" w:cs="Arial"/>
                <w:sz w:val="18"/>
                <w:szCs w:val="18"/>
              </w:rPr>
              <w:t>I</w:t>
            </w:r>
            <w:r w:rsidR="00E87AC3">
              <w:rPr>
                <w:rFonts w:ascii="Arial" w:hAnsi="Arial" w:cs="Arial"/>
                <w:sz w:val="18"/>
                <w:szCs w:val="18"/>
              </w:rPr>
              <w:t>nstrument</w:t>
            </w:r>
            <w:r w:rsidR="006D117A">
              <w:rPr>
                <w:rFonts w:ascii="Arial" w:hAnsi="Arial" w:cs="Arial"/>
                <w:sz w:val="18"/>
                <w:szCs w:val="18"/>
              </w:rPr>
              <w:t xml:space="preserve">s </w:t>
            </w:r>
            <w:r w:rsidR="00BF56DB">
              <w:rPr>
                <w:rFonts w:ascii="Arial" w:hAnsi="Arial" w:cs="Arial"/>
                <w:sz w:val="18"/>
                <w:szCs w:val="18"/>
              </w:rPr>
              <w:t>identifiziert wurden</w:t>
            </w:r>
            <w:r w:rsidR="00A710D6">
              <w:rPr>
                <w:rFonts w:ascii="Arial" w:hAnsi="Arial" w:cs="Arial"/>
                <w:sz w:val="18"/>
                <w:szCs w:val="18"/>
              </w:rPr>
              <w:t>.</w:t>
            </w:r>
          </w:p>
        </w:tc>
        <w:tc>
          <w:tcPr>
            <w:tcW w:w="2522" w:type="dxa"/>
          </w:tcPr>
          <w:p w14:paraId="10697ACF" w14:textId="1E5273E8" w:rsidR="0014645E" w:rsidRPr="00E109DF" w:rsidRDefault="0014645E" w:rsidP="00306DAC">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C39CF" w:rsidRPr="006A08D2" w14:paraId="191CB35F" w14:textId="77777777" w:rsidTr="5BDDCDE6">
        <w:trPr>
          <w:trHeight w:val="294"/>
        </w:trPr>
        <w:tc>
          <w:tcPr>
            <w:tcW w:w="317" w:type="dxa"/>
          </w:tcPr>
          <w:p w14:paraId="46D6F429" w14:textId="191C6863" w:rsidR="000C39CF" w:rsidRDefault="0014645E" w:rsidP="000C39CF">
            <w:pPr>
              <w:jc w:val="both"/>
              <w:rPr>
                <w:rFonts w:ascii="Arial" w:hAnsi="Arial" w:cs="Arial"/>
                <w:sz w:val="18"/>
                <w:szCs w:val="18"/>
              </w:rPr>
            </w:pPr>
            <w:r>
              <w:rPr>
                <w:rFonts w:ascii="Arial" w:hAnsi="Arial" w:cs="Arial"/>
                <w:sz w:val="18"/>
                <w:szCs w:val="18"/>
              </w:rPr>
              <w:t>4</w:t>
            </w:r>
          </w:p>
        </w:tc>
        <w:tc>
          <w:tcPr>
            <w:tcW w:w="6379" w:type="dxa"/>
            <w:gridSpan w:val="4"/>
          </w:tcPr>
          <w:p w14:paraId="3F61B551" w14:textId="1DC83284" w:rsidR="000C39CF" w:rsidRPr="00306DAC" w:rsidRDefault="355FAF97" w:rsidP="000C39CF">
            <w:pPr>
              <w:jc w:val="both"/>
              <w:rPr>
                <w:rFonts w:ascii="Arial" w:hAnsi="Arial" w:cs="Arial"/>
                <w:sz w:val="18"/>
                <w:szCs w:val="18"/>
              </w:rPr>
            </w:pPr>
            <w:r w:rsidRPr="5BDDCDE6">
              <w:rPr>
                <w:rFonts w:ascii="Arial" w:hAnsi="Arial" w:cs="Arial"/>
                <w:sz w:val="18"/>
                <w:szCs w:val="18"/>
              </w:rPr>
              <w:t>Bestätigung, dass potentielle Abwicklungsmassnahmen in</w:t>
            </w:r>
            <w:r w:rsidR="0EC0273D" w:rsidRPr="5BDDCDE6">
              <w:rPr>
                <w:rFonts w:ascii="Arial" w:hAnsi="Arial" w:cs="Arial"/>
                <w:sz w:val="18"/>
                <w:szCs w:val="18"/>
              </w:rPr>
              <w:t xml:space="preserve"> relevanten</w:t>
            </w:r>
            <w:r w:rsidRPr="5BDDCDE6">
              <w:rPr>
                <w:rFonts w:ascii="Arial" w:hAnsi="Arial" w:cs="Arial"/>
                <w:sz w:val="18"/>
                <w:szCs w:val="18"/>
              </w:rPr>
              <w:t xml:space="preserve"> bankgeschäftlichen und/oder betrieblichen Verträgen (z.B. Herabschreibung und/oder Transfer von Vermögenswerten und Verbindlichkeiten</w:t>
            </w:r>
            <w:r w:rsidR="14E85D32" w:rsidRPr="5BDDCDE6">
              <w:rPr>
                <w:rFonts w:ascii="Arial" w:hAnsi="Arial" w:cs="Arial"/>
                <w:sz w:val="18"/>
                <w:szCs w:val="18"/>
              </w:rPr>
              <w:t>)</w:t>
            </w:r>
            <w:r w:rsidR="79705186" w:rsidRPr="5BDDCDE6">
              <w:rPr>
                <w:rFonts w:ascii="Arial" w:hAnsi="Arial" w:cs="Arial"/>
                <w:sz w:val="18"/>
                <w:szCs w:val="18"/>
              </w:rPr>
              <w:t xml:space="preserve"> </w:t>
            </w:r>
            <w:r w:rsidR="0EC0273D" w:rsidRPr="5BDDCDE6">
              <w:rPr>
                <w:rFonts w:ascii="Arial" w:hAnsi="Arial" w:cs="Arial"/>
                <w:sz w:val="18"/>
                <w:szCs w:val="18"/>
              </w:rPr>
              <w:t>berücksichtigt sind.</w:t>
            </w:r>
          </w:p>
        </w:tc>
        <w:tc>
          <w:tcPr>
            <w:tcW w:w="2522" w:type="dxa"/>
          </w:tcPr>
          <w:p w14:paraId="2275B7E6" w14:textId="440D57BE" w:rsidR="000C39CF" w:rsidRPr="00E109DF" w:rsidRDefault="000C39CF" w:rsidP="000C39CF">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1C7E951" w14:textId="53282540" w:rsidR="5BDDCDE6" w:rsidRDefault="5BDDCDE6" w:rsidP="5BDDCDE6">
      <w:pPr>
        <w:jc w:val="both"/>
        <w:rPr>
          <w:rFonts w:ascii="Arial" w:hAnsi="Arial" w:cs="Arial"/>
          <w:i/>
          <w:iCs/>
          <w:sz w:val="20"/>
          <w:szCs w:val="20"/>
          <w:highlight w:val="yellow"/>
        </w:rPr>
      </w:pPr>
    </w:p>
    <w:tbl>
      <w:tblPr>
        <w:tblStyle w:val="Tabellenraster"/>
        <w:tblW w:w="0" w:type="auto"/>
        <w:tblLook w:val="04A0" w:firstRow="1" w:lastRow="0" w:firstColumn="1" w:lastColumn="0" w:noHBand="0" w:noVBand="1"/>
      </w:tblPr>
      <w:tblGrid>
        <w:gridCol w:w="1980"/>
        <w:gridCol w:w="7229"/>
      </w:tblGrid>
      <w:tr w:rsidR="00343BBB" w14:paraId="350DF88C" w14:textId="77777777" w:rsidTr="00A3201A">
        <w:trPr>
          <w:trHeight w:val="300"/>
        </w:trPr>
        <w:tc>
          <w:tcPr>
            <w:tcW w:w="1980" w:type="dxa"/>
          </w:tcPr>
          <w:p w14:paraId="516CD334" w14:textId="77777777" w:rsidR="00343BBB" w:rsidRDefault="00343BBB">
            <w:pPr>
              <w:jc w:val="both"/>
              <w:rPr>
                <w:rFonts w:ascii="Arial" w:hAnsi="Arial" w:cs="Arial"/>
                <w:b/>
                <w:bCs/>
                <w:i/>
                <w:iCs/>
                <w:sz w:val="18"/>
                <w:szCs w:val="18"/>
              </w:rPr>
            </w:pPr>
            <w:r w:rsidRPr="5BDDCDE6">
              <w:rPr>
                <w:rFonts w:ascii="Arial" w:hAnsi="Arial" w:cs="Arial"/>
                <w:b/>
                <w:bCs/>
                <w:i/>
                <w:iCs/>
                <w:sz w:val="18"/>
                <w:szCs w:val="18"/>
              </w:rPr>
              <w:t>Prüfelemente</w:t>
            </w:r>
          </w:p>
        </w:tc>
        <w:tc>
          <w:tcPr>
            <w:tcW w:w="7229" w:type="dxa"/>
          </w:tcPr>
          <w:p w14:paraId="56EF4A9B" w14:textId="77777777" w:rsidR="00343BBB" w:rsidRDefault="00343BBB">
            <w:pPr>
              <w:jc w:val="both"/>
              <w:rPr>
                <w:rFonts w:ascii="Arial" w:hAnsi="Arial" w:cs="Arial"/>
                <w:b/>
                <w:bCs/>
                <w:i/>
                <w:iCs/>
                <w:sz w:val="18"/>
                <w:szCs w:val="18"/>
              </w:rPr>
            </w:pPr>
            <w:r w:rsidRPr="5BDDCDE6">
              <w:rPr>
                <w:rFonts w:ascii="Arial" w:hAnsi="Arial" w:cs="Arial"/>
                <w:b/>
                <w:bCs/>
                <w:i/>
                <w:iCs/>
                <w:sz w:val="18"/>
                <w:szCs w:val="18"/>
              </w:rPr>
              <w:t>Mindestprüfinhalte («Muster»)</w:t>
            </w:r>
          </w:p>
        </w:tc>
      </w:tr>
      <w:tr w:rsidR="00343BBB" w14:paraId="5A9CC0E8" w14:textId="77777777" w:rsidTr="00A3201A">
        <w:trPr>
          <w:trHeight w:val="300"/>
        </w:trPr>
        <w:tc>
          <w:tcPr>
            <w:tcW w:w="1980" w:type="dxa"/>
          </w:tcPr>
          <w:p w14:paraId="7404DD56" w14:textId="77777777" w:rsidR="00343BBB" w:rsidRDefault="00343BBB">
            <w:pPr>
              <w:spacing w:line="259" w:lineRule="auto"/>
              <w:jc w:val="both"/>
              <w:rPr>
                <w:rFonts w:ascii="Arial" w:hAnsi="Arial" w:cs="Arial"/>
                <w:i/>
                <w:iCs/>
                <w:sz w:val="18"/>
                <w:szCs w:val="18"/>
              </w:rPr>
            </w:pPr>
            <w:r w:rsidRPr="5BDDCDE6">
              <w:rPr>
                <w:rFonts w:ascii="Arial" w:eastAsia="Arial" w:hAnsi="Arial" w:cs="Arial"/>
                <w:i/>
                <w:iCs/>
                <w:sz w:val="18"/>
                <w:szCs w:val="18"/>
              </w:rPr>
              <w:t xml:space="preserve">Interne Organisation </w:t>
            </w:r>
          </w:p>
        </w:tc>
        <w:tc>
          <w:tcPr>
            <w:tcW w:w="7229" w:type="dxa"/>
          </w:tcPr>
          <w:p w14:paraId="79AC1B35" w14:textId="400200B7" w:rsidR="00343BBB" w:rsidRDefault="00343BBB">
            <w:pPr>
              <w:pStyle w:val="Listenabsatz"/>
              <w:numPr>
                <w:ilvl w:val="1"/>
                <w:numId w:val="10"/>
              </w:numPr>
              <w:spacing w:line="259" w:lineRule="auto"/>
              <w:ind w:left="317" w:hanging="283"/>
              <w:jc w:val="both"/>
              <w:rPr>
                <w:rFonts w:cs="Arial"/>
                <w:i/>
                <w:color w:val="FF0000"/>
                <w:sz w:val="18"/>
                <w:szCs w:val="18"/>
              </w:rPr>
            </w:pPr>
            <w:r w:rsidRPr="3E104B00">
              <w:rPr>
                <w:rFonts w:cs="Arial"/>
                <w:i/>
                <w:iCs/>
                <w:sz w:val="18"/>
                <w:szCs w:val="18"/>
              </w:rPr>
              <w:t xml:space="preserve">Die interne Organisationsstruktur (z.B. Weisungswesen, technische, personelle und fachliche Ressourcen) stellt sicher, </w:t>
            </w:r>
            <w:r w:rsidRPr="0DF2805F">
              <w:rPr>
                <w:rFonts w:cs="Arial"/>
                <w:i/>
                <w:sz w:val="18"/>
                <w:szCs w:val="18"/>
              </w:rPr>
              <w:t xml:space="preserve">dass Verfahren </w:t>
            </w:r>
            <w:r>
              <w:rPr>
                <w:rFonts w:cs="Arial"/>
                <w:i/>
                <w:sz w:val="18"/>
                <w:szCs w:val="18"/>
              </w:rPr>
              <w:t>zur</w:t>
            </w:r>
            <w:r w:rsidRPr="0DF2805F">
              <w:rPr>
                <w:rFonts w:cs="Arial"/>
                <w:i/>
                <w:sz w:val="18"/>
                <w:szCs w:val="18"/>
              </w:rPr>
              <w:t xml:space="preserve"> </w:t>
            </w:r>
            <w:r w:rsidRPr="0DF2805F">
              <w:rPr>
                <w:rFonts w:cs="Arial"/>
                <w:i/>
                <w:iCs/>
                <w:sz w:val="18"/>
                <w:szCs w:val="18"/>
              </w:rPr>
              <w:t>Quantifizierung</w:t>
            </w:r>
            <w:r w:rsidRPr="0DF2805F">
              <w:rPr>
                <w:rFonts w:cs="Arial"/>
                <w:i/>
                <w:sz w:val="18"/>
                <w:szCs w:val="18"/>
              </w:rPr>
              <w:t xml:space="preserve"> und Zuordnung </w:t>
            </w:r>
            <w:r w:rsidRPr="0DF2805F">
              <w:rPr>
                <w:rFonts w:cs="Arial"/>
                <w:i/>
                <w:iCs/>
                <w:sz w:val="18"/>
                <w:szCs w:val="18"/>
              </w:rPr>
              <w:t xml:space="preserve">von </w:t>
            </w:r>
            <w:r w:rsidR="00DF4A45">
              <w:rPr>
                <w:rFonts w:cs="Arial"/>
                <w:i/>
                <w:iCs/>
                <w:sz w:val="18"/>
                <w:szCs w:val="18"/>
              </w:rPr>
              <w:t xml:space="preserve">berücksichtigungsfähigen </w:t>
            </w:r>
            <w:r w:rsidRPr="0DF2805F">
              <w:rPr>
                <w:rFonts w:cs="Arial"/>
                <w:i/>
                <w:iCs/>
                <w:sz w:val="18"/>
                <w:szCs w:val="18"/>
              </w:rPr>
              <w:t xml:space="preserve"> Verbindlichkeiten</w:t>
            </w:r>
            <w:r w:rsidR="005B35C8">
              <w:rPr>
                <w:rFonts w:cs="Arial"/>
                <w:i/>
                <w:iCs/>
                <w:sz w:val="18"/>
                <w:szCs w:val="18"/>
              </w:rPr>
              <w:t xml:space="preserve">, zur zulässigen Verringerung der Verbindlichkeiten nach Art 78a CRR, </w:t>
            </w:r>
            <w:r w:rsidRPr="0DF2805F">
              <w:rPr>
                <w:rFonts w:cs="Arial"/>
                <w:i/>
                <w:iCs/>
                <w:sz w:val="18"/>
                <w:szCs w:val="18"/>
              </w:rPr>
              <w:t xml:space="preserve">sowie </w:t>
            </w:r>
            <w:r>
              <w:rPr>
                <w:rFonts w:cs="Arial"/>
                <w:i/>
                <w:iCs/>
                <w:sz w:val="18"/>
                <w:szCs w:val="18"/>
              </w:rPr>
              <w:t>zur</w:t>
            </w:r>
            <w:r w:rsidRPr="0DF2805F">
              <w:rPr>
                <w:rFonts w:cs="Arial"/>
                <w:i/>
                <w:iCs/>
                <w:sz w:val="18"/>
                <w:szCs w:val="18"/>
              </w:rPr>
              <w:t xml:space="preserve"> vollständige</w:t>
            </w:r>
            <w:r>
              <w:rPr>
                <w:rFonts w:cs="Arial"/>
                <w:i/>
                <w:iCs/>
                <w:sz w:val="18"/>
                <w:szCs w:val="18"/>
              </w:rPr>
              <w:t>n</w:t>
            </w:r>
            <w:r w:rsidRPr="0DF2805F">
              <w:rPr>
                <w:rFonts w:cs="Arial"/>
                <w:i/>
                <w:iCs/>
                <w:sz w:val="18"/>
                <w:szCs w:val="18"/>
              </w:rPr>
              <w:t xml:space="preserve"> Herabschreibung oder Umwandlung von Kapitalinstrumenten oder Verbindlichkeiten</w:t>
            </w:r>
            <w:r w:rsidRPr="0DF2805F">
              <w:rPr>
                <w:rFonts w:cs="Arial"/>
                <w:i/>
                <w:sz w:val="18"/>
                <w:szCs w:val="18"/>
              </w:rPr>
              <w:t xml:space="preserve"> </w:t>
            </w:r>
            <w:r>
              <w:rPr>
                <w:rFonts w:cs="Arial"/>
                <w:i/>
                <w:sz w:val="18"/>
                <w:szCs w:val="18"/>
              </w:rPr>
              <w:t>existieren</w:t>
            </w:r>
          </w:p>
        </w:tc>
      </w:tr>
      <w:tr w:rsidR="00343BBB" w14:paraId="1B5C7622" w14:textId="77777777" w:rsidTr="00A3201A">
        <w:trPr>
          <w:trHeight w:val="300"/>
        </w:trPr>
        <w:tc>
          <w:tcPr>
            <w:tcW w:w="1980" w:type="dxa"/>
          </w:tcPr>
          <w:p w14:paraId="4AA15979" w14:textId="77777777" w:rsidR="00343BBB" w:rsidRDefault="00343BBB">
            <w:pPr>
              <w:spacing w:line="259" w:lineRule="auto"/>
              <w:jc w:val="both"/>
              <w:rPr>
                <w:rFonts w:ascii="Arial" w:hAnsi="Arial" w:cs="Arial"/>
                <w:i/>
                <w:iCs/>
                <w:sz w:val="18"/>
                <w:szCs w:val="18"/>
              </w:rPr>
            </w:pPr>
            <w:r w:rsidRPr="5BDDCDE6">
              <w:rPr>
                <w:rFonts w:ascii="Arial" w:eastAsia="Arial" w:hAnsi="Arial" w:cs="Arial"/>
                <w:i/>
                <w:iCs/>
                <w:sz w:val="18"/>
                <w:szCs w:val="18"/>
              </w:rPr>
              <w:t>Internes Kontrollsystem, Prozesse und Berichterstattung</w:t>
            </w:r>
          </w:p>
        </w:tc>
        <w:tc>
          <w:tcPr>
            <w:tcW w:w="7229" w:type="dxa"/>
          </w:tcPr>
          <w:p w14:paraId="2AF264F4" w14:textId="77777777" w:rsidR="00343BBB" w:rsidRPr="00DD4F85" w:rsidRDefault="00343BBB">
            <w:pPr>
              <w:pStyle w:val="Listenabsatz"/>
              <w:numPr>
                <w:ilvl w:val="0"/>
                <w:numId w:val="14"/>
              </w:numPr>
              <w:spacing w:line="259" w:lineRule="auto"/>
              <w:ind w:left="317" w:hanging="283"/>
              <w:jc w:val="both"/>
              <w:rPr>
                <w:i/>
                <w:iCs/>
              </w:rPr>
            </w:pPr>
            <w:r w:rsidRPr="5BDDCDE6">
              <w:rPr>
                <w:rFonts w:cs="Arial"/>
                <w:i/>
                <w:iCs/>
                <w:sz w:val="18"/>
                <w:szCs w:val="18"/>
              </w:rPr>
              <w:t xml:space="preserve">Die internen Verfahren sehen die Anwendung des 4-Augen-Prinzips </w:t>
            </w:r>
            <w:r>
              <w:rPr>
                <w:rFonts w:cs="Arial"/>
                <w:i/>
                <w:iCs/>
                <w:sz w:val="18"/>
                <w:szCs w:val="18"/>
              </w:rPr>
              <w:t>bzw.</w:t>
            </w:r>
            <w:r w:rsidRPr="5BDDCDE6">
              <w:rPr>
                <w:rFonts w:cs="Arial"/>
                <w:i/>
                <w:iCs/>
                <w:sz w:val="18"/>
                <w:szCs w:val="18"/>
              </w:rPr>
              <w:t xml:space="preserve"> Funktionstrennung bei Schlüsselkontrollen vor </w:t>
            </w:r>
          </w:p>
          <w:p w14:paraId="3017B0FE" w14:textId="5A9607A9" w:rsidR="00343BBB" w:rsidRDefault="00343BBB">
            <w:pPr>
              <w:pStyle w:val="Listenabsatz"/>
              <w:numPr>
                <w:ilvl w:val="0"/>
                <w:numId w:val="14"/>
              </w:numPr>
              <w:spacing w:line="259" w:lineRule="auto"/>
              <w:ind w:left="317" w:hanging="283"/>
              <w:jc w:val="both"/>
              <w:rPr>
                <w:rFonts w:cs="Arial"/>
                <w:i/>
                <w:iCs/>
                <w:sz w:val="18"/>
                <w:szCs w:val="18"/>
              </w:rPr>
            </w:pPr>
            <w:r w:rsidRPr="00AB7CEE">
              <w:rPr>
                <w:rFonts w:cs="Arial"/>
                <w:i/>
                <w:iCs/>
                <w:sz w:val="18"/>
                <w:szCs w:val="18"/>
              </w:rPr>
              <w:t>Datenqualitätssichernde Kontrollen sind definiert</w:t>
            </w:r>
          </w:p>
          <w:p w14:paraId="17EDDDA3" w14:textId="41865C77" w:rsidR="00343BBB" w:rsidRDefault="00343BBB">
            <w:pPr>
              <w:pStyle w:val="Listenabsatz"/>
              <w:numPr>
                <w:ilvl w:val="0"/>
                <w:numId w:val="14"/>
              </w:numPr>
              <w:spacing w:line="259" w:lineRule="auto"/>
              <w:ind w:left="317" w:hanging="283"/>
              <w:jc w:val="both"/>
              <w:rPr>
                <w:rFonts w:cs="Arial"/>
                <w:i/>
                <w:sz w:val="18"/>
                <w:szCs w:val="18"/>
              </w:rPr>
            </w:pPr>
            <w:r>
              <w:rPr>
                <w:rFonts w:cs="Arial"/>
                <w:i/>
                <w:sz w:val="18"/>
                <w:szCs w:val="18"/>
              </w:rPr>
              <w:t>Potentielle Abwicklungsmassnahmen</w:t>
            </w:r>
            <w:r w:rsidR="00150A9A">
              <w:rPr>
                <w:rFonts w:cs="Arial"/>
                <w:i/>
                <w:sz w:val="18"/>
                <w:szCs w:val="18"/>
              </w:rPr>
              <w:t xml:space="preserve"> </w:t>
            </w:r>
            <w:r>
              <w:rPr>
                <w:rFonts w:cs="Arial"/>
                <w:i/>
                <w:sz w:val="18"/>
                <w:szCs w:val="18"/>
              </w:rPr>
              <w:t xml:space="preserve">sind in </w:t>
            </w:r>
            <w:r w:rsidRPr="00E20905">
              <w:rPr>
                <w:rFonts w:cs="Arial"/>
                <w:i/>
                <w:sz w:val="18"/>
                <w:szCs w:val="18"/>
              </w:rPr>
              <w:t>bankgeschäftlichen und/oder betrieblichen Verträgen</w:t>
            </w:r>
            <w:r>
              <w:rPr>
                <w:rFonts w:cs="Arial"/>
                <w:i/>
                <w:sz w:val="18"/>
                <w:szCs w:val="18"/>
              </w:rPr>
              <w:t xml:space="preserve"> </w:t>
            </w:r>
            <w:r w:rsidRPr="008C0CCF">
              <w:rPr>
                <w:rFonts w:cs="Arial"/>
                <w:i/>
                <w:sz w:val="18"/>
                <w:szCs w:val="18"/>
              </w:rPr>
              <w:t xml:space="preserve">berücksichtigt </w:t>
            </w:r>
          </w:p>
        </w:tc>
      </w:tr>
    </w:tbl>
    <w:p w14:paraId="3623A09A" w14:textId="6EC11BAC" w:rsidR="5BDDCDE6" w:rsidRDefault="5BDDCDE6" w:rsidP="5BDDCDE6">
      <w:pPr>
        <w:jc w:val="both"/>
        <w:rPr>
          <w:rFonts w:ascii="Arial" w:hAnsi="Arial" w:cs="Arial"/>
          <w:i/>
          <w:iCs/>
          <w:sz w:val="20"/>
          <w:szCs w:val="20"/>
          <w:highlight w:val="yellow"/>
        </w:rPr>
      </w:pPr>
    </w:p>
    <w:p w14:paraId="03FA2994" w14:textId="04ADC144" w:rsidR="00C44FE4" w:rsidRDefault="00C44FE4" w:rsidP="00C37D08">
      <w:pPr>
        <w:pStyle w:val="FINMAGliederungEbene2"/>
      </w:pPr>
      <w:bookmarkStart w:id="59" w:name="_Toc147141456"/>
      <w:r>
        <w:t>Liquidität und Refinanzierung</w:t>
      </w:r>
      <w:bookmarkEnd w:id="59"/>
    </w:p>
    <w:p w14:paraId="2F19C44B" w14:textId="77777777" w:rsidR="00C44FE4" w:rsidRPr="006067FE" w:rsidRDefault="00C44FE4" w:rsidP="00C44FE4">
      <w:pPr>
        <w:jc w:val="both"/>
      </w:pPr>
    </w:p>
    <w:tbl>
      <w:tblPr>
        <w:tblStyle w:val="Tabellenraster"/>
        <w:tblW w:w="0" w:type="auto"/>
        <w:tblLook w:val="04A0" w:firstRow="1" w:lastRow="0" w:firstColumn="1" w:lastColumn="0" w:noHBand="0" w:noVBand="1"/>
      </w:tblPr>
      <w:tblGrid>
        <w:gridCol w:w="417"/>
        <w:gridCol w:w="1653"/>
        <w:gridCol w:w="2145"/>
        <w:gridCol w:w="1721"/>
        <w:gridCol w:w="860"/>
        <w:gridCol w:w="2522"/>
      </w:tblGrid>
      <w:tr w:rsidR="00C44FE4" w:rsidRPr="009872F3" w14:paraId="7D8C39B8" w14:textId="77777777" w:rsidTr="0046461F">
        <w:trPr>
          <w:trHeight w:val="563"/>
        </w:trPr>
        <w:tc>
          <w:tcPr>
            <w:tcW w:w="2070" w:type="dxa"/>
            <w:gridSpan w:val="2"/>
            <w:shd w:val="clear" w:color="auto" w:fill="DBE5F1" w:themeFill="accent1" w:themeFillTint="33"/>
          </w:tcPr>
          <w:p w14:paraId="0A8C4D90" w14:textId="77777777" w:rsidR="00C44FE4" w:rsidRPr="009872F3" w:rsidRDefault="00C44FE4" w:rsidP="00C747F0">
            <w:pPr>
              <w:jc w:val="both"/>
              <w:rPr>
                <w:rFonts w:ascii="Arial" w:hAnsi="Arial" w:cs="Arial"/>
                <w:sz w:val="18"/>
                <w:szCs w:val="18"/>
              </w:rPr>
            </w:pPr>
            <w:r w:rsidRPr="009872F3">
              <w:rPr>
                <w:rFonts w:ascii="Arial" w:hAnsi="Arial" w:cs="Arial"/>
                <w:sz w:val="18"/>
                <w:szCs w:val="18"/>
              </w:rPr>
              <w:t>Nettorisiko</w:t>
            </w:r>
          </w:p>
        </w:tc>
        <w:tc>
          <w:tcPr>
            <w:tcW w:w="2145" w:type="dxa"/>
            <w:shd w:val="clear" w:color="auto" w:fill="DBE5F1" w:themeFill="accent1" w:themeFillTint="33"/>
          </w:tcPr>
          <w:p w14:paraId="43883865" w14:textId="77777777" w:rsidR="00C44FE4" w:rsidRPr="009872F3" w:rsidRDefault="00C44FE4" w:rsidP="00C747F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5BE8658A" w14:textId="77777777" w:rsidR="00C44FE4" w:rsidRPr="009872F3" w:rsidRDefault="00C44FE4" w:rsidP="00C747F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44FE4" w:rsidRPr="009872F3" w14:paraId="30FB6A1C" w14:textId="77777777" w:rsidTr="0046461F">
        <w:trPr>
          <w:trHeight w:val="698"/>
        </w:trPr>
        <w:tc>
          <w:tcPr>
            <w:tcW w:w="2070" w:type="dxa"/>
            <w:gridSpan w:val="2"/>
            <w:shd w:val="clear" w:color="auto" w:fill="DBE5F1" w:themeFill="accent1" w:themeFillTint="33"/>
          </w:tcPr>
          <w:p w14:paraId="078F38D7" w14:textId="77777777" w:rsidR="00C44FE4" w:rsidRPr="006749F0" w:rsidRDefault="00C44FE4" w:rsidP="00C747F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1C844049" w14:textId="77777777" w:rsidR="00C44FE4" w:rsidRPr="006749F0" w:rsidRDefault="00C44FE4" w:rsidP="00C747F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18A3027E" w14:textId="77777777" w:rsidR="00C44FE4" w:rsidRPr="009872F3" w:rsidRDefault="00C44FE4" w:rsidP="00C747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40A36AAC" w14:textId="77777777" w:rsidR="00C44FE4" w:rsidRDefault="00C44FE4" w:rsidP="00C747F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8402C96" w14:textId="77777777" w:rsidR="00C44FE4" w:rsidRPr="006749F0" w:rsidRDefault="00C44FE4" w:rsidP="00C747F0">
            <w:pPr>
              <w:jc w:val="both"/>
              <w:rPr>
                <w:rFonts w:ascii="Arial" w:hAnsi="Arial" w:cs="Arial"/>
                <w:i/>
                <w:sz w:val="18"/>
                <w:szCs w:val="18"/>
              </w:rPr>
            </w:pPr>
            <w:r w:rsidRPr="006749F0">
              <w:rPr>
                <w:rFonts w:ascii="Arial" w:hAnsi="Arial" w:cs="Arial"/>
                <w:i/>
                <w:sz w:val="18"/>
                <w:szCs w:val="18"/>
                <w:highlight w:val="yellow"/>
              </w:rPr>
              <w:t>Jahr</w:t>
            </w:r>
          </w:p>
        </w:tc>
      </w:tr>
      <w:tr w:rsidR="00C44FE4" w:rsidRPr="009872F3" w14:paraId="10E85CEE" w14:textId="77777777" w:rsidTr="0046461F">
        <w:trPr>
          <w:trHeight w:val="636"/>
        </w:trPr>
        <w:tc>
          <w:tcPr>
            <w:tcW w:w="9318" w:type="dxa"/>
            <w:gridSpan w:val="6"/>
            <w:shd w:val="clear" w:color="auto" w:fill="DBE5F1" w:themeFill="accent1" w:themeFillTint="33"/>
          </w:tcPr>
          <w:p w14:paraId="7BA41C12" w14:textId="77777777" w:rsidR="00DD758F" w:rsidRPr="00DD758F" w:rsidRDefault="00DD758F" w:rsidP="00DD758F">
            <w:pPr>
              <w:jc w:val="both"/>
              <w:rPr>
                <w:rFonts w:ascii="Arial" w:hAnsi="Arial" w:cs="Arial"/>
                <w:i/>
                <w:sz w:val="18"/>
                <w:szCs w:val="18"/>
              </w:rPr>
            </w:pPr>
            <w:r w:rsidRPr="00DD758F">
              <w:rPr>
                <w:rFonts w:ascii="Arial" w:hAnsi="Arial" w:cs="Arial"/>
                <w:i/>
                <w:sz w:val="18"/>
                <w:szCs w:val="18"/>
              </w:rPr>
              <w:t>Referenzen (demonstrativ):</w:t>
            </w:r>
          </w:p>
          <w:p w14:paraId="4F751ABC" w14:textId="77777777" w:rsidR="00DD758F" w:rsidRPr="00997881" w:rsidRDefault="00DD758F" w:rsidP="00C37D08">
            <w:pPr>
              <w:pStyle w:val="Listenabsatz"/>
              <w:numPr>
                <w:ilvl w:val="0"/>
                <w:numId w:val="9"/>
              </w:numPr>
              <w:ind w:left="308"/>
              <w:jc w:val="both"/>
              <w:rPr>
                <w:rFonts w:cs="Arial"/>
                <w:sz w:val="18"/>
                <w:szCs w:val="18"/>
              </w:rPr>
            </w:pPr>
            <w:r w:rsidRPr="00997881">
              <w:rPr>
                <w:rFonts w:cs="Arial"/>
                <w:sz w:val="18"/>
                <w:szCs w:val="18"/>
              </w:rPr>
              <w:t>EBA Leitlinien zur Verbesserung der Abwicklungsfähigkeit für Institute und Abwicklungsbehörden</w:t>
            </w:r>
          </w:p>
          <w:p w14:paraId="13EA0E6F" w14:textId="77777777" w:rsidR="00C44FE4" w:rsidRDefault="00DD758F" w:rsidP="00543B51">
            <w:pPr>
              <w:pStyle w:val="Listenabsatz"/>
              <w:ind w:left="308"/>
              <w:jc w:val="both"/>
              <w:rPr>
                <w:rFonts w:cs="Arial"/>
                <w:sz w:val="18"/>
                <w:szCs w:val="18"/>
              </w:rPr>
            </w:pPr>
            <w:r w:rsidRPr="00997881">
              <w:rPr>
                <w:rFonts w:cs="Arial"/>
                <w:sz w:val="18"/>
                <w:szCs w:val="18"/>
              </w:rPr>
              <w:t>(Resolvability Guidelines; EBA/GL/2022/01)</w:t>
            </w:r>
          </w:p>
          <w:p w14:paraId="01AE25AF" w14:textId="1FE965E9" w:rsidR="00E75BEB" w:rsidRPr="00E75BEB" w:rsidRDefault="00E75BEB" w:rsidP="0096765A">
            <w:pPr>
              <w:pStyle w:val="Listenabsatz"/>
              <w:numPr>
                <w:ilvl w:val="0"/>
                <w:numId w:val="9"/>
              </w:numPr>
              <w:ind w:left="308"/>
              <w:jc w:val="both"/>
              <w:rPr>
                <w:rFonts w:cs="Arial"/>
                <w:sz w:val="18"/>
                <w:szCs w:val="18"/>
              </w:rPr>
            </w:pPr>
            <w:r w:rsidRPr="00997881">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C44FE4" w:rsidRPr="009872F3" w14:paraId="2048E0BA" w14:textId="77777777" w:rsidTr="0046461F">
        <w:trPr>
          <w:trHeight w:val="294"/>
        </w:trPr>
        <w:tc>
          <w:tcPr>
            <w:tcW w:w="9318" w:type="dxa"/>
            <w:gridSpan w:val="6"/>
          </w:tcPr>
          <w:p w14:paraId="3D41CC56" w14:textId="77777777" w:rsidR="00C44FE4" w:rsidRPr="009872F3" w:rsidRDefault="00C44FE4" w:rsidP="00C747F0">
            <w:pPr>
              <w:jc w:val="both"/>
              <w:rPr>
                <w:rFonts w:ascii="Arial" w:hAnsi="Arial" w:cs="Arial"/>
                <w:sz w:val="18"/>
                <w:szCs w:val="18"/>
              </w:rPr>
            </w:pPr>
          </w:p>
        </w:tc>
      </w:tr>
      <w:tr w:rsidR="00E43C84" w:rsidRPr="009872F3" w14:paraId="197C025F" w14:textId="77777777" w:rsidTr="0046461F">
        <w:trPr>
          <w:trHeight w:val="294"/>
        </w:trPr>
        <w:tc>
          <w:tcPr>
            <w:tcW w:w="417" w:type="dxa"/>
          </w:tcPr>
          <w:p w14:paraId="75E070E8" w14:textId="423E0BE2" w:rsidR="00E43C84" w:rsidRPr="009872F3" w:rsidRDefault="00E43C84" w:rsidP="00E43C84">
            <w:pPr>
              <w:jc w:val="both"/>
              <w:rPr>
                <w:rFonts w:ascii="Arial" w:hAnsi="Arial" w:cs="Arial"/>
                <w:sz w:val="18"/>
                <w:szCs w:val="18"/>
              </w:rPr>
            </w:pPr>
            <w:r>
              <w:rPr>
                <w:rFonts w:ascii="Arial" w:hAnsi="Arial" w:cs="Arial"/>
                <w:sz w:val="18"/>
                <w:szCs w:val="18"/>
              </w:rPr>
              <w:t>1</w:t>
            </w:r>
          </w:p>
        </w:tc>
        <w:tc>
          <w:tcPr>
            <w:tcW w:w="6379" w:type="dxa"/>
            <w:gridSpan w:val="4"/>
          </w:tcPr>
          <w:p w14:paraId="3E585F0E" w14:textId="69CD8483" w:rsidR="00E43C84" w:rsidRPr="009872F3" w:rsidRDefault="00E43C84" w:rsidP="00E43C84">
            <w:pPr>
              <w:jc w:val="both"/>
              <w:rPr>
                <w:rFonts w:ascii="Arial" w:hAnsi="Arial" w:cs="Arial"/>
                <w:sz w:val="18"/>
                <w:szCs w:val="18"/>
              </w:rPr>
            </w:pPr>
            <w:r>
              <w:rPr>
                <w:rFonts w:ascii="Arial" w:hAnsi="Arial" w:cs="Arial"/>
                <w:sz w:val="18"/>
                <w:szCs w:val="18"/>
              </w:rPr>
              <w:t xml:space="preserve">Bestätigung, dass die internen </w:t>
            </w:r>
            <w:r w:rsidRPr="006E2516">
              <w:rPr>
                <w:rFonts w:ascii="Arial" w:hAnsi="Arial" w:cs="Arial"/>
                <w:sz w:val="18"/>
                <w:szCs w:val="18"/>
              </w:rPr>
              <w:t>Verfahren</w:t>
            </w:r>
            <w:r>
              <w:rPr>
                <w:rFonts w:ascii="Arial" w:hAnsi="Arial" w:cs="Arial"/>
                <w:sz w:val="18"/>
                <w:szCs w:val="18"/>
              </w:rPr>
              <w:t xml:space="preserve"> </w:t>
            </w:r>
            <w:r w:rsidR="00012701">
              <w:rPr>
                <w:rFonts w:ascii="Arial" w:hAnsi="Arial" w:cs="Arial"/>
                <w:sz w:val="18"/>
                <w:szCs w:val="18"/>
              </w:rPr>
              <w:t xml:space="preserve">eine </w:t>
            </w:r>
            <w:r>
              <w:rPr>
                <w:rFonts w:ascii="Arial" w:hAnsi="Arial" w:cs="Arial"/>
                <w:sz w:val="18"/>
                <w:szCs w:val="18"/>
              </w:rPr>
              <w:t xml:space="preserve">Liquiditätsanalyse </w:t>
            </w:r>
            <w:r w:rsidRPr="006E2516">
              <w:rPr>
                <w:rFonts w:ascii="Arial" w:hAnsi="Arial" w:cs="Arial"/>
                <w:sz w:val="18"/>
                <w:szCs w:val="18"/>
              </w:rPr>
              <w:t xml:space="preserve">nach </w:t>
            </w:r>
            <w:r>
              <w:rPr>
                <w:rFonts w:ascii="Arial" w:hAnsi="Arial" w:cs="Arial"/>
                <w:sz w:val="18"/>
                <w:szCs w:val="18"/>
              </w:rPr>
              <w:t>EBA/GL/2022/01 (</w:t>
            </w:r>
            <w:r w:rsidRPr="00B56D96">
              <w:rPr>
                <w:rFonts w:ascii="Arial" w:hAnsi="Arial" w:cs="Arial"/>
                <w:sz w:val="18"/>
                <w:szCs w:val="18"/>
              </w:rPr>
              <w:t>Kapitel 4.2.1)</w:t>
            </w:r>
            <w:r w:rsidR="003A53AC">
              <w:rPr>
                <w:rFonts w:ascii="Arial" w:hAnsi="Arial" w:cs="Arial"/>
                <w:sz w:val="18"/>
                <w:szCs w:val="18"/>
              </w:rPr>
              <w:t xml:space="preserve"> ermöglichen</w:t>
            </w:r>
            <w:r>
              <w:rPr>
                <w:rFonts w:ascii="Arial" w:hAnsi="Arial" w:cs="Arial"/>
                <w:sz w:val="18"/>
                <w:szCs w:val="18"/>
              </w:rPr>
              <w:t>.</w:t>
            </w:r>
          </w:p>
        </w:tc>
        <w:tc>
          <w:tcPr>
            <w:tcW w:w="2522" w:type="dxa"/>
          </w:tcPr>
          <w:p w14:paraId="6EB7BA89" w14:textId="64D45F7C" w:rsidR="00E43C84" w:rsidRPr="009872F3" w:rsidRDefault="00E43C84" w:rsidP="00E43C84">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3C84" w:rsidRPr="009872F3" w14:paraId="0FA23F5A" w14:textId="77777777" w:rsidTr="0046461F">
        <w:trPr>
          <w:trHeight w:val="294"/>
        </w:trPr>
        <w:tc>
          <w:tcPr>
            <w:tcW w:w="417" w:type="dxa"/>
          </w:tcPr>
          <w:p w14:paraId="369EC6F5" w14:textId="0C6185B0" w:rsidR="00E43C84" w:rsidRPr="009872F3" w:rsidRDefault="00201E84" w:rsidP="00E43C84">
            <w:pPr>
              <w:jc w:val="both"/>
              <w:rPr>
                <w:rFonts w:ascii="Arial" w:hAnsi="Arial" w:cs="Arial"/>
                <w:sz w:val="18"/>
                <w:szCs w:val="18"/>
              </w:rPr>
            </w:pPr>
            <w:r>
              <w:rPr>
                <w:rFonts w:ascii="Arial" w:hAnsi="Arial" w:cs="Arial"/>
                <w:sz w:val="18"/>
                <w:szCs w:val="18"/>
              </w:rPr>
              <w:t>2</w:t>
            </w:r>
          </w:p>
        </w:tc>
        <w:tc>
          <w:tcPr>
            <w:tcW w:w="6379" w:type="dxa"/>
            <w:gridSpan w:val="4"/>
          </w:tcPr>
          <w:p w14:paraId="044387D7" w14:textId="14525A3A" w:rsidR="00E43C84" w:rsidRPr="009872F3" w:rsidRDefault="00E43C84" w:rsidP="00E43C84">
            <w:pPr>
              <w:jc w:val="both"/>
              <w:rPr>
                <w:rFonts w:ascii="Arial" w:hAnsi="Arial" w:cs="Arial"/>
                <w:sz w:val="18"/>
                <w:szCs w:val="18"/>
              </w:rPr>
            </w:pPr>
            <w:r>
              <w:rPr>
                <w:rFonts w:ascii="Arial" w:hAnsi="Arial" w:cs="Arial"/>
                <w:sz w:val="18"/>
                <w:szCs w:val="18"/>
              </w:rPr>
              <w:t xml:space="preserve">Bestätigung, dass die </w:t>
            </w:r>
            <w:r w:rsidRPr="00BD6CC3">
              <w:rPr>
                <w:rFonts w:ascii="Arial" w:hAnsi="Arial" w:cs="Arial"/>
                <w:sz w:val="18"/>
                <w:szCs w:val="18"/>
              </w:rPr>
              <w:t xml:space="preserve">internen Verfahren </w:t>
            </w:r>
            <w:r w:rsidR="00534C60">
              <w:rPr>
                <w:rFonts w:ascii="Arial" w:hAnsi="Arial" w:cs="Arial"/>
                <w:sz w:val="18"/>
                <w:szCs w:val="18"/>
              </w:rPr>
              <w:t>ermöglichen</w:t>
            </w:r>
            <w:r w:rsidRPr="00BD6CC3">
              <w:rPr>
                <w:rFonts w:ascii="Arial" w:hAnsi="Arial" w:cs="Arial"/>
                <w:sz w:val="18"/>
                <w:szCs w:val="18"/>
              </w:rPr>
              <w:t xml:space="preserve">, dass das </w:t>
            </w:r>
            <w:r>
              <w:rPr>
                <w:rFonts w:ascii="Arial" w:hAnsi="Arial" w:cs="Arial"/>
                <w:sz w:val="18"/>
                <w:szCs w:val="18"/>
              </w:rPr>
              <w:t xml:space="preserve">Unternehmen </w:t>
            </w:r>
            <w:r w:rsidRPr="00BD6CC3">
              <w:rPr>
                <w:rFonts w:ascii="Arial" w:hAnsi="Arial" w:cs="Arial"/>
                <w:sz w:val="18"/>
                <w:szCs w:val="18"/>
              </w:rPr>
              <w:t xml:space="preserve">alle Vermögenswerte </w:t>
            </w:r>
            <w:r>
              <w:rPr>
                <w:rFonts w:ascii="Arial" w:hAnsi="Arial" w:cs="Arial"/>
                <w:sz w:val="18"/>
                <w:szCs w:val="18"/>
              </w:rPr>
              <w:t>oder sonstige Liquiditätsquellen</w:t>
            </w:r>
            <w:r w:rsidDel="00DF3B28">
              <w:rPr>
                <w:rFonts w:ascii="Arial" w:hAnsi="Arial" w:cs="Arial"/>
                <w:sz w:val="18"/>
                <w:szCs w:val="18"/>
              </w:rPr>
              <w:t>,</w:t>
            </w:r>
            <w:r w:rsidDel="007C40A4">
              <w:rPr>
                <w:rFonts w:ascii="Arial" w:hAnsi="Arial" w:cs="Arial"/>
                <w:sz w:val="18"/>
                <w:szCs w:val="18"/>
              </w:rPr>
              <w:t xml:space="preserve"> </w:t>
            </w:r>
            <w:r w:rsidDel="00DF3B28">
              <w:rPr>
                <w:rFonts w:ascii="Arial" w:hAnsi="Arial" w:cs="Arial"/>
                <w:sz w:val="18"/>
                <w:szCs w:val="18"/>
              </w:rPr>
              <w:t>einschliesslich gruppeninterner Garantievereinbarungen,</w:t>
            </w:r>
            <w:r>
              <w:rPr>
                <w:rFonts w:ascii="Arial" w:hAnsi="Arial" w:cs="Arial"/>
                <w:sz w:val="18"/>
                <w:szCs w:val="18"/>
              </w:rPr>
              <w:t xml:space="preserve"> </w:t>
            </w:r>
            <w:r w:rsidRPr="00BD6CC3">
              <w:rPr>
                <w:rFonts w:ascii="Arial" w:hAnsi="Arial" w:cs="Arial"/>
                <w:sz w:val="18"/>
                <w:szCs w:val="18"/>
              </w:rPr>
              <w:t xml:space="preserve">identifizieren und </w:t>
            </w:r>
            <w:r w:rsidR="00534C60">
              <w:rPr>
                <w:rFonts w:ascii="Arial" w:hAnsi="Arial" w:cs="Arial"/>
                <w:sz w:val="18"/>
                <w:szCs w:val="18"/>
              </w:rPr>
              <w:t xml:space="preserve">bei </w:t>
            </w:r>
            <w:r w:rsidR="64987BE0" w:rsidRPr="40F12475">
              <w:rPr>
                <w:rFonts w:ascii="Arial" w:hAnsi="Arial" w:cs="Arial"/>
                <w:sz w:val="18"/>
                <w:szCs w:val="18"/>
              </w:rPr>
              <w:t>Bedarf</w:t>
            </w:r>
            <w:r w:rsidR="00534C60">
              <w:rPr>
                <w:rFonts w:ascii="Arial" w:hAnsi="Arial" w:cs="Arial"/>
                <w:sz w:val="18"/>
                <w:szCs w:val="18"/>
              </w:rPr>
              <w:t xml:space="preserve"> </w:t>
            </w:r>
            <w:r w:rsidRPr="00BD6CC3">
              <w:rPr>
                <w:rFonts w:ascii="Arial" w:hAnsi="Arial" w:cs="Arial"/>
                <w:sz w:val="18"/>
                <w:szCs w:val="18"/>
              </w:rPr>
              <w:t>mobilisieren kann, die poten</w:t>
            </w:r>
            <w:r>
              <w:rPr>
                <w:rFonts w:ascii="Arial" w:hAnsi="Arial" w:cs="Arial"/>
                <w:sz w:val="18"/>
                <w:szCs w:val="18"/>
              </w:rPr>
              <w:t>t</w:t>
            </w:r>
            <w:r w:rsidRPr="00BD6CC3">
              <w:rPr>
                <w:rFonts w:ascii="Arial" w:hAnsi="Arial" w:cs="Arial"/>
                <w:sz w:val="18"/>
                <w:szCs w:val="18"/>
              </w:rPr>
              <w:t>iell als Sicherheiten zur Bereitstellung von Mitteln im Abwicklungsfall dienen könn</w:t>
            </w:r>
            <w:r>
              <w:rPr>
                <w:rFonts w:ascii="Arial" w:hAnsi="Arial" w:cs="Arial"/>
                <w:sz w:val="18"/>
                <w:szCs w:val="18"/>
              </w:rPr>
              <w:t>en.</w:t>
            </w:r>
          </w:p>
        </w:tc>
        <w:tc>
          <w:tcPr>
            <w:tcW w:w="2522" w:type="dxa"/>
          </w:tcPr>
          <w:p w14:paraId="2DBEE69F" w14:textId="16FC7BFF" w:rsidR="00E43C84" w:rsidRPr="00E109DF" w:rsidRDefault="00E43C84" w:rsidP="00E43C84">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0869455" w14:textId="77777777" w:rsidR="0046461F" w:rsidRDefault="0046461F" w:rsidP="00343BBB">
      <w:pPr>
        <w:pStyle w:val="FINMAGliederungEbene2"/>
        <w:numPr>
          <w:ilvl w:val="1"/>
          <w:numId w:val="0"/>
        </w:numPr>
      </w:pPr>
    </w:p>
    <w:tbl>
      <w:tblPr>
        <w:tblStyle w:val="Tabellenraster"/>
        <w:tblW w:w="0" w:type="auto"/>
        <w:tblLook w:val="04A0" w:firstRow="1" w:lastRow="0" w:firstColumn="1" w:lastColumn="0" w:noHBand="0" w:noVBand="1"/>
      </w:tblPr>
      <w:tblGrid>
        <w:gridCol w:w="1980"/>
        <w:gridCol w:w="7371"/>
      </w:tblGrid>
      <w:tr w:rsidR="00343BBB" w14:paraId="0156A237" w14:textId="77777777" w:rsidTr="0096765A">
        <w:trPr>
          <w:trHeight w:val="300"/>
        </w:trPr>
        <w:tc>
          <w:tcPr>
            <w:tcW w:w="1980" w:type="dxa"/>
          </w:tcPr>
          <w:p w14:paraId="72B868AB" w14:textId="77777777" w:rsidR="00343BBB" w:rsidRDefault="00343BBB">
            <w:pPr>
              <w:jc w:val="both"/>
              <w:rPr>
                <w:rFonts w:ascii="Arial" w:hAnsi="Arial" w:cs="Arial"/>
                <w:b/>
                <w:bCs/>
                <w:i/>
                <w:iCs/>
                <w:sz w:val="18"/>
                <w:szCs w:val="18"/>
              </w:rPr>
            </w:pPr>
            <w:r w:rsidRPr="7BF93955">
              <w:rPr>
                <w:rFonts w:ascii="Arial" w:hAnsi="Arial" w:cs="Arial"/>
                <w:b/>
                <w:bCs/>
                <w:i/>
                <w:iCs/>
                <w:sz w:val="18"/>
                <w:szCs w:val="18"/>
              </w:rPr>
              <w:t>Prüfelemente</w:t>
            </w:r>
          </w:p>
        </w:tc>
        <w:tc>
          <w:tcPr>
            <w:tcW w:w="7371" w:type="dxa"/>
          </w:tcPr>
          <w:p w14:paraId="27945A3D" w14:textId="77777777" w:rsidR="00343BBB" w:rsidRDefault="00343BBB">
            <w:pPr>
              <w:jc w:val="both"/>
              <w:rPr>
                <w:rFonts w:ascii="Arial" w:hAnsi="Arial" w:cs="Arial"/>
                <w:b/>
                <w:bCs/>
                <w:i/>
                <w:iCs/>
                <w:sz w:val="18"/>
                <w:szCs w:val="18"/>
              </w:rPr>
            </w:pPr>
            <w:r w:rsidRPr="7BF93955">
              <w:rPr>
                <w:rFonts w:ascii="Arial" w:hAnsi="Arial" w:cs="Arial"/>
                <w:b/>
                <w:bCs/>
                <w:i/>
                <w:iCs/>
                <w:sz w:val="18"/>
                <w:szCs w:val="18"/>
              </w:rPr>
              <w:t>Mindestprüfinhalte («Muster»)</w:t>
            </w:r>
          </w:p>
        </w:tc>
      </w:tr>
      <w:tr w:rsidR="00343BBB" w14:paraId="478511E8" w14:textId="77777777" w:rsidTr="0096765A">
        <w:trPr>
          <w:trHeight w:val="300"/>
        </w:trPr>
        <w:tc>
          <w:tcPr>
            <w:tcW w:w="1980" w:type="dxa"/>
          </w:tcPr>
          <w:p w14:paraId="7399D977" w14:textId="77777777" w:rsidR="00343BBB" w:rsidRDefault="00343BBB">
            <w:pPr>
              <w:spacing w:line="259" w:lineRule="auto"/>
              <w:jc w:val="both"/>
              <w:rPr>
                <w:rFonts w:ascii="Arial" w:hAnsi="Arial" w:cs="Arial"/>
                <w:i/>
                <w:iCs/>
                <w:sz w:val="18"/>
                <w:szCs w:val="18"/>
              </w:rPr>
            </w:pPr>
            <w:r w:rsidRPr="7BF93955">
              <w:rPr>
                <w:rFonts w:ascii="Arial" w:eastAsia="Arial" w:hAnsi="Arial" w:cs="Arial"/>
                <w:i/>
                <w:iCs/>
                <w:sz w:val="18"/>
                <w:szCs w:val="18"/>
              </w:rPr>
              <w:t xml:space="preserve">Interne Organisation </w:t>
            </w:r>
          </w:p>
        </w:tc>
        <w:tc>
          <w:tcPr>
            <w:tcW w:w="7371" w:type="dxa"/>
          </w:tcPr>
          <w:p w14:paraId="7038A0FE" w14:textId="77777777" w:rsidR="00343BBB" w:rsidRDefault="00343BBB">
            <w:pPr>
              <w:pStyle w:val="Listenabsatz"/>
              <w:numPr>
                <w:ilvl w:val="1"/>
                <w:numId w:val="10"/>
              </w:numPr>
              <w:spacing w:line="259" w:lineRule="auto"/>
              <w:ind w:left="317" w:hanging="283"/>
              <w:jc w:val="both"/>
            </w:pPr>
            <w:r w:rsidRPr="7BF93955">
              <w:rPr>
                <w:rFonts w:cs="Arial"/>
                <w:i/>
                <w:iCs/>
                <w:sz w:val="18"/>
                <w:szCs w:val="18"/>
              </w:rPr>
              <w:t>Die interne Organisationsstruktur (z.B. Weisungswesen, technische, personelle und fachliche Ressourcen)</w:t>
            </w:r>
            <w:r w:rsidRPr="63C36438">
              <w:rPr>
                <w:rFonts w:eastAsia="Arial" w:cs="Arial"/>
                <w:i/>
                <w:sz w:val="18"/>
                <w:szCs w:val="18"/>
              </w:rPr>
              <w:t xml:space="preserve"> </w:t>
            </w:r>
            <w:r w:rsidRPr="5AAF26A4">
              <w:rPr>
                <w:rFonts w:eastAsia="Arial" w:cs="Arial"/>
                <w:i/>
                <w:sz w:val="18"/>
                <w:szCs w:val="18"/>
              </w:rPr>
              <w:t xml:space="preserve">stellt sicher, dass Verfahren existieren, welche die </w:t>
            </w:r>
            <w:r w:rsidRPr="5AAF26A4">
              <w:rPr>
                <w:rFonts w:eastAsia="Arial" w:cs="Arial"/>
                <w:i/>
                <w:iCs/>
                <w:sz w:val="18"/>
                <w:szCs w:val="18"/>
              </w:rPr>
              <w:t>Identifikation von Liquiditätsquellen</w:t>
            </w:r>
            <w:r w:rsidRPr="5AAF26A4">
              <w:rPr>
                <w:rFonts w:eastAsia="Arial" w:cs="Arial"/>
                <w:i/>
                <w:sz w:val="18"/>
                <w:szCs w:val="18"/>
              </w:rPr>
              <w:t xml:space="preserve"> und die </w:t>
            </w:r>
            <w:r w:rsidRPr="5AAF26A4">
              <w:rPr>
                <w:rFonts w:eastAsia="Arial" w:cs="Arial"/>
                <w:i/>
                <w:iCs/>
                <w:sz w:val="18"/>
                <w:szCs w:val="18"/>
              </w:rPr>
              <w:t>Durchführung einer Liquiditätsanalyse</w:t>
            </w:r>
            <w:r w:rsidRPr="5AAF26A4">
              <w:rPr>
                <w:rFonts w:eastAsia="Arial" w:cs="Arial"/>
                <w:i/>
                <w:sz w:val="18"/>
                <w:szCs w:val="18"/>
              </w:rPr>
              <w:t xml:space="preserve"> ermöglichen</w:t>
            </w:r>
            <w:r w:rsidRPr="5AAF26A4">
              <w:rPr>
                <w:rFonts w:eastAsia="Arial" w:cs="Arial"/>
                <w:sz w:val="18"/>
                <w:szCs w:val="18"/>
              </w:rPr>
              <w:t xml:space="preserve"> </w:t>
            </w:r>
            <w:r w:rsidRPr="5AAF26A4">
              <w:t xml:space="preserve"> </w:t>
            </w:r>
          </w:p>
        </w:tc>
      </w:tr>
      <w:tr w:rsidR="00343BBB" w14:paraId="73D5A37D" w14:textId="77777777" w:rsidTr="0096765A">
        <w:trPr>
          <w:trHeight w:val="300"/>
        </w:trPr>
        <w:tc>
          <w:tcPr>
            <w:tcW w:w="1980" w:type="dxa"/>
          </w:tcPr>
          <w:p w14:paraId="570CBED5" w14:textId="77777777" w:rsidR="00343BBB" w:rsidRDefault="00343BBB">
            <w:pPr>
              <w:spacing w:line="259" w:lineRule="auto"/>
              <w:jc w:val="both"/>
              <w:rPr>
                <w:rFonts w:ascii="Arial" w:hAnsi="Arial" w:cs="Arial"/>
                <w:i/>
                <w:iCs/>
                <w:sz w:val="18"/>
                <w:szCs w:val="18"/>
              </w:rPr>
            </w:pPr>
            <w:r w:rsidRPr="7BF93955">
              <w:rPr>
                <w:rFonts w:ascii="Arial" w:eastAsia="Arial" w:hAnsi="Arial" w:cs="Arial"/>
                <w:i/>
                <w:iCs/>
                <w:sz w:val="18"/>
                <w:szCs w:val="18"/>
              </w:rPr>
              <w:t>Internes Kontrollsystem, Prozesse und Berichterstattung</w:t>
            </w:r>
          </w:p>
        </w:tc>
        <w:tc>
          <w:tcPr>
            <w:tcW w:w="7371" w:type="dxa"/>
          </w:tcPr>
          <w:p w14:paraId="1F01CB25" w14:textId="77777777" w:rsidR="00343BBB" w:rsidRPr="00386BDC" w:rsidRDefault="00343BBB">
            <w:pPr>
              <w:pStyle w:val="Listenabsatz"/>
              <w:numPr>
                <w:ilvl w:val="0"/>
                <w:numId w:val="14"/>
              </w:numPr>
              <w:spacing w:line="259" w:lineRule="auto"/>
              <w:ind w:left="317" w:hanging="283"/>
              <w:jc w:val="both"/>
              <w:rPr>
                <w:i/>
                <w:iCs/>
                <w:sz w:val="18"/>
                <w:szCs w:val="22"/>
              </w:rPr>
            </w:pPr>
            <w:r w:rsidRPr="00386BDC">
              <w:rPr>
                <w:i/>
                <w:iCs/>
                <w:sz w:val="18"/>
                <w:szCs w:val="22"/>
              </w:rPr>
              <w:t>Die</w:t>
            </w:r>
            <w:r>
              <w:rPr>
                <w:i/>
                <w:iCs/>
                <w:sz w:val="18"/>
                <w:szCs w:val="22"/>
              </w:rPr>
              <w:t xml:space="preserve"> Liquiditätsanalyse erfüllt die Vorgaben der EBA/GL/2022/01 Kapitel 4.2.1</w:t>
            </w:r>
          </w:p>
          <w:p w14:paraId="22DB1526" w14:textId="77777777" w:rsidR="00343BBB" w:rsidRPr="004A1670" w:rsidRDefault="00343BBB">
            <w:pPr>
              <w:pStyle w:val="Listenabsatz"/>
              <w:numPr>
                <w:ilvl w:val="0"/>
                <w:numId w:val="14"/>
              </w:numPr>
              <w:spacing w:line="259" w:lineRule="auto"/>
              <w:ind w:left="317" w:hanging="283"/>
              <w:jc w:val="both"/>
              <w:rPr>
                <w:i/>
                <w:iCs/>
              </w:rPr>
            </w:pPr>
            <w:r w:rsidRPr="7BF93955">
              <w:rPr>
                <w:rFonts w:cs="Arial"/>
                <w:i/>
                <w:iCs/>
                <w:sz w:val="18"/>
                <w:szCs w:val="18"/>
              </w:rPr>
              <w:t xml:space="preserve">Die internen Verfahren sehen die Anwendung des 4-Augen-Prinzips </w:t>
            </w:r>
            <w:r>
              <w:rPr>
                <w:rFonts w:cs="Arial"/>
                <w:i/>
                <w:iCs/>
                <w:sz w:val="18"/>
                <w:szCs w:val="18"/>
              </w:rPr>
              <w:t>bzw.</w:t>
            </w:r>
            <w:r w:rsidRPr="7BF93955">
              <w:rPr>
                <w:rFonts w:cs="Arial"/>
                <w:i/>
                <w:iCs/>
                <w:sz w:val="18"/>
                <w:szCs w:val="18"/>
              </w:rPr>
              <w:t xml:space="preserve"> Funktionstrennung bei Schlüsselkontrollen vor </w:t>
            </w:r>
          </w:p>
          <w:p w14:paraId="49C709F4" w14:textId="77777777" w:rsidR="00343BBB" w:rsidRPr="004A1670" w:rsidRDefault="00343BBB">
            <w:pPr>
              <w:pStyle w:val="Listenabsatz"/>
              <w:numPr>
                <w:ilvl w:val="0"/>
                <w:numId w:val="14"/>
              </w:numPr>
              <w:spacing w:line="259" w:lineRule="auto"/>
              <w:ind w:left="317" w:hanging="283"/>
              <w:jc w:val="both"/>
              <w:rPr>
                <w:rFonts w:cs="Arial"/>
                <w:i/>
                <w:iCs/>
                <w:sz w:val="18"/>
                <w:szCs w:val="18"/>
              </w:rPr>
            </w:pPr>
            <w:r w:rsidRPr="004A1670">
              <w:rPr>
                <w:rFonts w:cs="Arial"/>
                <w:i/>
                <w:iCs/>
                <w:sz w:val="18"/>
                <w:szCs w:val="18"/>
              </w:rPr>
              <w:lastRenderedPageBreak/>
              <w:t>Datenqualitätssichernde Kontrollen sind definiert</w:t>
            </w:r>
          </w:p>
        </w:tc>
      </w:tr>
    </w:tbl>
    <w:p w14:paraId="5786FB1A" w14:textId="77777777" w:rsidR="170CE702" w:rsidRDefault="170CE702" w:rsidP="170CE702">
      <w:pPr>
        <w:pStyle w:val="FINMAGliederungEbene1"/>
        <w:numPr>
          <w:ilvl w:val="0"/>
          <w:numId w:val="0"/>
        </w:numPr>
      </w:pPr>
    </w:p>
    <w:p w14:paraId="087D0692" w14:textId="55945D2F" w:rsidR="00821D76" w:rsidRDefault="00321DB7" w:rsidP="00C37D08">
      <w:pPr>
        <w:pStyle w:val="FINMAGliederungEbene2"/>
      </w:pPr>
      <w:bookmarkStart w:id="60" w:name="_Toc147141457"/>
      <w:r>
        <w:t>Transferstrategien</w:t>
      </w:r>
      <w:bookmarkEnd w:id="60"/>
    </w:p>
    <w:p w14:paraId="30059BFA" w14:textId="77777777" w:rsidR="00D779C1" w:rsidRPr="006067FE" w:rsidRDefault="00D779C1" w:rsidP="00D779C1">
      <w:pPr>
        <w:jc w:val="both"/>
      </w:pPr>
    </w:p>
    <w:tbl>
      <w:tblPr>
        <w:tblStyle w:val="Tabellenraster"/>
        <w:tblW w:w="0" w:type="auto"/>
        <w:tblLook w:val="04A0" w:firstRow="1" w:lastRow="0" w:firstColumn="1" w:lastColumn="0" w:noHBand="0" w:noVBand="1"/>
      </w:tblPr>
      <w:tblGrid>
        <w:gridCol w:w="517"/>
        <w:gridCol w:w="1511"/>
        <w:gridCol w:w="2145"/>
        <w:gridCol w:w="1721"/>
        <w:gridCol w:w="860"/>
        <w:gridCol w:w="2522"/>
      </w:tblGrid>
      <w:tr w:rsidR="00D779C1" w:rsidRPr="009872F3" w14:paraId="6812BB01" w14:textId="77777777" w:rsidTr="0096765A">
        <w:trPr>
          <w:trHeight w:val="563"/>
        </w:trPr>
        <w:tc>
          <w:tcPr>
            <w:tcW w:w="2028" w:type="dxa"/>
            <w:gridSpan w:val="2"/>
            <w:shd w:val="clear" w:color="auto" w:fill="DBE5F1" w:themeFill="accent1" w:themeFillTint="33"/>
          </w:tcPr>
          <w:p w14:paraId="623D856F" w14:textId="77777777" w:rsidR="00D779C1" w:rsidRPr="009872F3" w:rsidRDefault="00D779C1" w:rsidP="00C747F0">
            <w:pPr>
              <w:jc w:val="both"/>
              <w:rPr>
                <w:rFonts w:ascii="Arial" w:hAnsi="Arial" w:cs="Arial"/>
                <w:sz w:val="18"/>
                <w:szCs w:val="18"/>
              </w:rPr>
            </w:pPr>
            <w:r w:rsidRPr="009872F3">
              <w:rPr>
                <w:rFonts w:ascii="Arial" w:hAnsi="Arial" w:cs="Arial"/>
                <w:sz w:val="18"/>
                <w:szCs w:val="18"/>
              </w:rPr>
              <w:t>Nettorisiko</w:t>
            </w:r>
          </w:p>
        </w:tc>
        <w:tc>
          <w:tcPr>
            <w:tcW w:w="2145" w:type="dxa"/>
            <w:shd w:val="clear" w:color="auto" w:fill="DBE5F1" w:themeFill="accent1" w:themeFillTint="33"/>
          </w:tcPr>
          <w:p w14:paraId="6D34D554" w14:textId="77777777" w:rsidR="00D779C1" w:rsidRPr="009872F3" w:rsidRDefault="00D779C1" w:rsidP="00C747F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3"/>
            <w:shd w:val="clear" w:color="auto" w:fill="DBE5F1" w:themeFill="accent1" w:themeFillTint="33"/>
          </w:tcPr>
          <w:p w14:paraId="1EE8E7D6" w14:textId="77777777" w:rsidR="00D779C1" w:rsidRPr="009872F3" w:rsidRDefault="00D779C1" w:rsidP="00C747F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779C1" w:rsidRPr="009872F3" w14:paraId="6D97D3F4" w14:textId="77777777" w:rsidTr="0096765A">
        <w:trPr>
          <w:trHeight w:val="698"/>
        </w:trPr>
        <w:tc>
          <w:tcPr>
            <w:tcW w:w="2028" w:type="dxa"/>
            <w:gridSpan w:val="2"/>
            <w:shd w:val="clear" w:color="auto" w:fill="DBE5F1" w:themeFill="accent1" w:themeFillTint="33"/>
          </w:tcPr>
          <w:p w14:paraId="319D1365" w14:textId="77777777" w:rsidR="00D779C1" w:rsidRPr="006749F0" w:rsidRDefault="00D779C1" w:rsidP="00C747F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shd w:val="clear" w:color="auto" w:fill="DBE5F1" w:themeFill="accent1" w:themeFillTint="33"/>
          </w:tcPr>
          <w:p w14:paraId="71FDD118" w14:textId="77777777" w:rsidR="00D779C1" w:rsidRPr="006749F0" w:rsidRDefault="00D779C1" w:rsidP="00C747F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shd w:val="clear" w:color="auto" w:fill="DBE5F1" w:themeFill="accent1" w:themeFillTint="33"/>
          </w:tcPr>
          <w:p w14:paraId="314B89E5" w14:textId="77777777" w:rsidR="00D779C1" w:rsidRPr="009872F3" w:rsidRDefault="00D779C1" w:rsidP="00C747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gridSpan w:val="2"/>
            <w:shd w:val="clear" w:color="auto" w:fill="DBE5F1" w:themeFill="accent1" w:themeFillTint="33"/>
          </w:tcPr>
          <w:p w14:paraId="39F5D98D" w14:textId="77777777" w:rsidR="00D779C1" w:rsidRDefault="00D779C1" w:rsidP="00C747F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7A7DB61" w14:textId="77777777" w:rsidR="00D779C1" w:rsidRPr="006749F0" w:rsidRDefault="00D779C1" w:rsidP="00C747F0">
            <w:pPr>
              <w:jc w:val="both"/>
              <w:rPr>
                <w:rFonts w:ascii="Arial" w:hAnsi="Arial" w:cs="Arial"/>
                <w:i/>
                <w:sz w:val="18"/>
                <w:szCs w:val="18"/>
              </w:rPr>
            </w:pPr>
            <w:r w:rsidRPr="006749F0">
              <w:rPr>
                <w:rFonts w:ascii="Arial" w:hAnsi="Arial" w:cs="Arial"/>
                <w:i/>
                <w:sz w:val="18"/>
                <w:szCs w:val="18"/>
                <w:highlight w:val="yellow"/>
              </w:rPr>
              <w:t>Jahr</w:t>
            </w:r>
          </w:p>
        </w:tc>
      </w:tr>
      <w:tr w:rsidR="00D779C1" w:rsidRPr="00E75BEB" w14:paraId="7DAE34FA" w14:textId="77777777" w:rsidTr="0096765A">
        <w:trPr>
          <w:trHeight w:val="636"/>
        </w:trPr>
        <w:tc>
          <w:tcPr>
            <w:tcW w:w="9276" w:type="dxa"/>
            <w:gridSpan w:val="6"/>
            <w:shd w:val="clear" w:color="auto" w:fill="DBE5F1" w:themeFill="accent1" w:themeFillTint="33"/>
          </w:tcPr>
          <w:p w14:paraId="0BCA2EAF" w14:textId="51710890" w:rsidR="000A7C21" w:rsidRPr="00DD758F" w:rsidRDefault="00D779C1" w:rsidP="004B7D4A">
            <w:pPr>
              <w:jc w:val="both"/>
              <w:rPr>
                <w:rFonts w:ascii="Arial" w:hAnsi="Arial" w:cs="Arial"/>
                <w:i/>
                <w:sz w:val="18"/>
                <w:szCs w:val="18"/>
              </w:rPr>
            </w:pPr>
            <w:r w:rsidRPr="00DD758F">
              <w:rPr>
                <w:rFonts w:ascii="Arial" w:hAnsi="Arial" w:cs="Arial"/>
                <w:i/>
                <w:sz w:val="18"/>
                <w:szCs w:val="18"/>
              </w:rPr>
              <w:t>Referenzen (demonstrativ):</w:t>
            </w:r>
          </w:p>
          <w:p w14:paraId="2B9F62C1" w14:textId="0F8ABAAD" w:rsidR="004C4C94" w:rsidRPr="004C4C94" w:rsidRDefault="004C4C94" w:rsidP="0096765A">
            <w:pPr>
              <w:pStyle w:val="Listenabsatz"/>
              <w:numPr>
                <w:ilvl w:val="0"/>
                <w:numId w:val="9"/>
              </w:numPr>
              <w:ind w:left="308"/>
              <w:jc w:val="both"/>
              <w:rPr>
                <w:rFonts w:cs="Arial"/>
                <w:sz w:val="18"/>
                <w:szCs w:val="18"/>
              </w:rPr>
            </w:pPr>
            <w:r w:rsidRPr="004C4C94">
              <w:rPr>
                <w:rFonts w:cs="Arial"/>
                <w:sz w:val="18"/>
                <w:szCs w:val="18"/>
              </w:rPr>
              <w:t>Delegierte Verordnung (EU) 2017/867 der Kommission vom 7. Februar 2017 über die bei partiellen Vermögensübertragungen nach Artikel 76 der Richtlinie 2014/59/EU des Europäischen Parlaments und des Rates zu schützenden Kategorien von Vereinbarungen</w:t>
            </w:r>
          </w:p>
          <w:p w14:paraId="7D4CE9CB" w14:textId="2B5128CF" w:rsidR="006C7ECB" w:rsidRPr="00997881" w:rsidRDefault="006C7ECB" w:rsidP="00C37D08">
            <w:pPr>
              <w:pStyle w:val="Listenabsatz"/>
              <w:numPr>
                <w:ilvl w:val="0"/>
                <w:numId w:val="9"/>
              </w:numPr>
              <w:ind w:left="308"/>
              <w:jc w:val="both"/>
              <w:rPr>
                <w:rFonts w:cs="Arial"/>
                <w:sz w:val="18"/>
                <w:szCs w:val="18"/>
              </w:rPr>
            </w:pPr>
            <w:r w:rsidRPr="006C7ECB">
              <w:rPr>
                <w:rFonts w:cs="Arial"/>
                <w:sz w:val="18"/>
                <w:szCs w:val="18"/>
              </w:rPr>
              <w:t>EBA Leitlinien zu den konkreten Umständen, die zu einer wesentlichen Bedrohung der Finanzstabilität führen, sowie zu den Aspekten hinsichtlich der Effektivität des Instruments der Unternehmensveräußerung nach Artikel 39 Absatz 4 der Richtlinie 2014/59/EU (EBA/GL/2015/04)</w:t>
            </w:r>
          </w:p>
          <w:p w14:paraId="70D989F3" w14:textId="77777777" w:rsidR="00DD758F" w:rsidRPr="00997881" w:rsidRDefault="00DD758F" w:rsidP="00C37D08">
            <w:pPr>
              <w:pStyle w:val="Listenabsatz"/>
              <w:numPr>
                <w:ilvl w:val="0"/>
                <w:numId w:val="9"/>
              </w:numPr>
              <w:ind w:left="308"/>
              <w:jc w:val="both"/>
              <w:rPr>
                <w:rFonts w:cs="Arial"/>
                <w:sz w:val="18"/>
                <w:szCs w:val="18"/>
              </w:rPr>
            </w:pPr>
            <w:r w:rsidRPr="00997881">
              <w:rPr>
                <w:rFonts w:cs="Arial"/>
                <w:sz w:val="18"/>
                <w:szCs w:val="18"/>
              </w:rPr>
              <w:t>EBA Leitlinien zur Verbesserung der Abwicklungsfähigkeit für Institute und Abwicklungsbehörden</w:t>
            </w:r>
          </w:p>
          <w:p w14:paraId="648E1939" w14:textId="77777777" w:rsidR="00DD758F" w:rsidRPr="00997881" w:rsidRDefault="00DD758F" w:rsidP="00543B51">
            <w:pPr>
              <w:pStyle w:val="Listenabsatz"/>
              <w:ind w:left="308"/>
              <w:jc w:val="both"/>
              <w:rPr>
                <w:rFonts w:cs="Arial"/>
                <w:sz w:val="18"/>
                <w:szCs w:val="18"/>
              </w:rPr>
            </w:pPr>
            <w:r w:rsidRPr="00997881">
              <w:rPr>
                <w:rFonts w:cs="Arial"/>
                <w:sz w:val="18"/>
                <w:szCs w:val="18"/>
              </w:rPr>
              <w:t>(Resolvability Guidelines; EBA/GL/2022/01)</w:t>
            </w:r>
          </w:p>
          <w:p w14:paraId="76E11906" w14:textId="150F6619" w:rsidR="00071D90" w:rsidRDefault="00DD758F" w:rsidP="00C37D08">
            <w:pPr>
              <w:pStyle w:val="Listenabsatz"/>
              <w:numPr>
                <w:ilvl w:val="0"/>
                <w:numId w:val="9"/>
              </w:numPr>
              <w:ind w:left="308"/>
              <w:jc w:val="both"/>
              <w:rPr>
                <w:rFonts w:cs="Arial"/>
                <w:sz w:val="18"/>
                <w:szCs w:val="18"/>
              </w:rPr>
            </w:pPr>
            <w:r w:rsidRPr="00997881">
              <w:rPr>
                <w:rFonts w:cs="Arial"/>
                <w:sz w:val="18"/>
                <w:szCs w:val="18"/>
              </w:rPr>
              <w:t>EBA Leitlinien zur Übertragbarkeit für die Ergänzung der Bewertung der Abwicklungsfähigkeit bei Transferstrategien (</w:t>
            </w:r>
            <w:proofErr w:type="spellStart"/>
            <w:r w:rsidRPr="00997881">
              <w:rPr>
                <w:rFonts w:cs="Arial"/>
                <w:sz w:val="18"/>
                <w:szCs w:val="18"/>
              </w:rPr>
              <w:t>Transferability</w:t>
            </w:r>
            <w:proofErr w:type="spellEnd"/>
            <w:r w:rsidRPr="00997881">
              <w:rPr>
                <w:rFonts w:cs="Arial"/>
                <w:sz w:val="18"/>
                <w:szCs w:val="18"/>
              </w:rPr>
              <w:t xml:space="preserve"> Guidelines; EBA/GL/2022/11)</w:t>
            </w:r>
          </w:p>
          <w:p w14:paraId="75A7379F" w14:textId="0ACC850F" w:rsidR="00D82568" w:rsidRDefault="00D82568" w:rsidP="004A1670">
            <w:pPr>
              <w:pStyle w:val="Listenabsatz"/>
              <w:numPr>
                <w:ilvl w:val="0"/>
                <w:numId w:val="9"/>
              </w:numPr>
              <w:ind w:left="308"/>
              <w:jc w:val="both"/>
              <w:rPr>
                <w:rFonts w:cs="Arial"/>
                <w:sz w:val="18"/>
                <w:szCs w:val="18"/>
                <w:lang w:val="en-US"/>
              </w:rPr>
            </w:pPr>
            <w:r w:rsidRPr="0096765A">
              <w:rPr>
                <w:rFonts w:cs="Arial"/>
                <w:sz w:val="18"/>
                <w:szCs w:val="18"/>
                <w:lang w:val="en-US"/>
              </w:rPr>
              <w:t xml:space="preserve">SRB </w:t>
            </w:r>
            <w:r w:rsidR="00071D90" w:rsidRPr="0096765A">
              <w:rPr>
                <w:rFonts w:cs="Arial"/>
                <w:sz w:val="18"/>
                <w:szCs w:val="18"/>
                <w:lang w:val="en-US"/>
              </w:rPr>
              <w:t>Operational Guidance for Banks on separability for transfer tools</w:t>
            </w:r>
          </w:p>
          <w:p w14:paraId="457A3E20" w14:textId="41E579F3" w:rsidR="00E75BEB" w:rsidRPr="00E75BEB" w:rsidRDefault="00E75BEB">
            <w:pPr>
              <w:pStyle w:val="Listenabsatz"/>
              <w:numPr>
                <w:ilvl w:val="0"/>
                <w:numId w:val="9"/>
              </w:numPr>
              <w:ind w:left="308"/>
              <w:jc w:val="both"/>
              <w:rPr>
                <w:rFonts w:cs="Arial"/>
                <w:sz w:val="18"/>
                <w:szCs w:val="18"/>
              </w:rPr>
            </w:pPr>
            <w:r w:rsidRPr="00997881">
              <w:rPr>
                <w:rFonts w:cs="Arial"/>
                <w:sz w:val="18"/>
                <w:szCs w:val="18"/>
              </w:rPr>
              <w:t>FMA-Mitteilung 2022/02 betreffend die Festlegung der Mindestanforderung an Eigenmittel und berücksichtigungsfähige Verbindlichkeiten und entsprechender Schnittstellen zur Abwicklungsplanung für Banken und Wertpapierfirmen («MREL-Policy»)</w:t>
            </w:r>
          </w:p>
        </w:tc>
      </w:tr>
      <w:tr w:rsidR="00250DF9" w:rsidRPr="00E75BEB" w14:paraId="6CBAF233" w14:textId="77777777" w:rsidTr="0096765A">
        <w:trPr>
          <w:trHeight w:val="156"/>
        </w:trPr>
        <w:tc>
          <w:tcPr>
            <w:tcW w:w="9276" w:type="dxa"/>
            <w:gridSpan w:val="6"/>
          </w:tcPr>
          <w:p w14:paraId="376304C6" w14:textId="77777777" w:rsidR="00250DF9" w:rsidRPr="00E75BEB" w:rsidRDefault="00250DF9" w:rsidP="004B7D4A">
            <w:pPr>
              <w:jc w:val="both"/>
              <w:rPr>
                <w:rFonts w:ascii="Arial" w:hAnsi="Arial" w:cs="Arial"/>
                <w:i/>
                <w:sz w:val="18"/>
                <w:szCs w:val="18"/>
              </w:rPr>
            </w:pPr>
          </w:p>
        </w:tc>
      </w:tr>
      <w:tr w:rsidR="00EF3818" w:rsidRPr="006A08D2" w14:paraId="79429163" w14:textId="77777777" w:rsidTr="0096765A">
        <w:trPr>
          <w:trHeight w:val="156"/>
        </w:trPr>
        <w:tc>
          <w:tcPr>
            <w:tcW w:w="517" w:type="dxa"/>
          </w:tcPr>
          <w:p w14:paraId="466EF0A2" w14:textId="631937DC" w:rsidR="00EF3818" w:rsidRDefault="000C243B" w:rsidP="00EF3818">
            <w:pPr>
              <w:jc w:val="both"/>
              <w:rPr>
                <w:rFonts w:ascii="Arial" w:hAnsi="Arial" w:cs="Arial"/>
                <w:sz w:val="18"/>
                <w:szCs w:val="18"/>
              </w:rPr>
            </w:pPr>
            <w:r>
              <w:rPr>
                <w:rFonts w:ascii="Arial" w:hAnsi="Arial" w:cs="Arial"/>
                <w:sz w:val="18"/>
                <w:szCs w:val="18"/>
              </w:rPr>
              <w:t>1</w:t>
            </w:r>
          </w:p>
        </w:tc>
        <w:tc>
          <w:tcPr>
            <w:tcW w:w="6237" w:type="dxa"/>
            <w:gridSpan w:val="4"/>
          </w:tcPr>
          <w:p w14:paraId="291246BA" w14:textId="15ECE3CD" w:rsidR="00EF3818" w:rsidRPr="00EF3818" w:rsidRDefault="00EF3818" w:rsidP="00EF3818">
            <w:pPr>
              <w:jc w:val="both"/>
              <w:rPr>
                <w:rFonts w:ascii="Arial" w:hAnsi="Arial" w:cs="Arial"/>
                <w:sz w:val="18"/>
                <w:szCs w:val="18"/>
              </w:rPr>
            </w:pPr>
            <w:r>
              <w:rPr>
                <w:rFonts w:ascii="Arial" w:hAnsi="Arial" w:cs="Arial"/>
                <w:sz w:val="18"/>
                <w:szCs w:val="18"/>
              </w:rPr>
              <w:t>Bestätigung, dass die internen Verfahren</w:t>
            </w:r>
            <w:r w:rsidR="002C2A14">
              <w:rPr>
                <w:rFonts w:ascii="Arial" w:hAnsi="Arial" w:cs="Arial"/>
                <w:sz w:val="18"/>
                <w:szCs w:val="18"/>
              </w:rPr>
              <w:t xml:space="preserve"> im Bedarfsfall</w:t>
            </w:r>
            <w:r>
              <w:rPr>
                <w:rFonts w:ascii="Arial" w:hAnsi="Arial" w:cs="Arial"/>
                <w:sz w:val="18"/>
                <w:szCs w:val="18"/>
              </w:rPr>
              <w:t xml:space="preserve"> die jederzeitige </w:t>
            </w:r>
            <w:r w:rsidRPr="00C614A2">
              <w:rPr>
                <w:rFonts w:ascii="Arial" w:hAnsi="Arial" w:cs="Arial"/>
                <w:sz w:val="18"/>
                <w:szCs w:val="18"/>
              </w:rPr>
              <w:t>Initiierung eines Verkaufsprozesses (Roadshow)</w:t>
            </w:r>
            <w:r w:rsidR="002C2A14">
              <w:rPr>
                <w:rFonts w:ascii="Arial" w:hAnsi="Arial" w:cs="Arial"/>
                <w:sz w:val="18"/>
                <w:szCs w:val="18"/>
              </w:rPr>
              <w:t>, in</w:t>
            </w:r>
            <w:r w:rsidR="008648A6">
              <w:rPr>
                <w:rFonts w:ascii="Arial" w:hAnsi="Arial" w:cs="Arial"/>
                <w:sz w:val="18"/>
                <w:szCs w:val="18"/>
              </w:rPr>
              <w:t>k</w:t>
            </w:r>
            <w:r w:rsidR="002C2A14">
              <w:rPr>
                <w:rFonts w:ascii="Arial" w:hAnsi="Arial" w:cs="Arial"/>
                <w:sz w:val="18"/>
                <w:szCs w:val="18"/>
              </w:rPr>
              <w:t>l.</w:t>
            </w:r>
            <w:r w:rsidR="007870D5">
              <w:rPr>
                <w:rFonts w:ascii="Arial" w:hAnsi="Arial" w:cs="Arial"/>
                <w:sz w:val="18"/>
                <w:szCs w:val="18"/>
              </w:rPr>
              <w:t xml:space="preserve"> </w:t>
            </w:r>
            <w:r w:rsidR="00491918">
              <w:rPr>
                <w:rFonts w:ascii="Arial" w:hAnsi="Arial" w:cs="Arial"/>
                <w:sz w:val="18"/>
                <w:szCs w:val="18"/>
              </w:rPr>
              <w:t>k</w:t>
            </w:r>
            <w:r w:rsidR="007870D5">
              <w:rPr>
                <w:rFonts w:ascii="Arial" w:hAnsi="Arial" w:cs="Arial"/>
                <w:sz w:val="18"/>
                <w:szCs w:val="18"/>
              </w:rPr>
              <w:t>urzfristiges Einrichten eines sicheren virtuellen Datenraum</w:t>
            </w:r>
            <w:r w:rsidR="00A8110D">
              <w:rPr>
                <w:rFonts w:ascii="Arial" w:hAnsi="Arial" w:cs="Arial"/>
                <w:sz w:val="18"/>
                <w:szCs w:val="18"/>
              </w:rPr>
              <w:t xml:space="preserve"> ermöglichen </w:t>
            </w:r>
            <w:r w:rsidRPr="00C614A2">
              <w:rPr>
                <w:rFonts w:ascii="Arial" w:hAnsi="Arial" w:cs="Arial"/>
                <w:sz w:val="18"/>
                <w:szCs w:val="18"/>
              </w:rPr>
              <w:t>(MREL-Policy, Kapitel 5.2.2)</w:t>
            </w:r>
            <w:r>
              <w:rPr>
                <w:rFonts w:ascii="Arial" w:hAnsi="Arial" w:cs="Arial"/>
                <w:sz w:val="18"/>
                <w:szCs w:val="18"/>
              </w:rPr>
              <w:t>.</w:t>
            </w:r>
          </w:p>
        </w:tc>
        <w:tc>
          <w:tcPr>
            <w:tcW w:w="2522" w:type="dxa"/>
          </w:tcPr>
          <w:p w14:paraId="3D30192C" w14:textId="348D09A1" w:rsidR="00EF3818" w:rsidRPr="00E109DF" w:rsidRDefault="00EF3818" w:rsidP="00EF381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F3818" w:rsidRPr="006A08D2" w14:paraId="58A5AAE6" w14:textId="77777777" w:rsidTr="0096765A">
        <w:trPr>
          <w:trHeight w:val="156"/>
        </w:trPr>
        <w:tc>
          <w:tcPr>
            <w:tcW w:w="517" w:type="dxa"/>
          </w:tcPr>
          <w:p w14:paraId="3903C10F" w14:textId="3BEBDB4E" w:rsidR="00EF3818" w:rsidRDefault="000C243B" w:rsidP="00EF3818">
            <w:pPr>
              <w:jc w:val="both"/>
              <w:rPr>
                <w:rFonts w:ascii="Arial" w:hAnsi="Arial" w:cs="Arial"/>
                <w:sz w:val="18"/>
                <w:szCs w:val="18"/>
              </w:rPr>
            </w:pPr>
            <w:r>
              <w:rPr>
                <w:rFonts w:ascii="Arial" w:hAnsi="Arial" w:cs="Arial"/>
                <w:sz w:val="18"/>
                <w:szCs w:val="18"/>
              </w:rPr>
              <w:t>2</w:t>
            </w:r>
          </w:p>
        </w:tc>
        <w:tc>
          <w:tcPr>
            <w:tcW w:w="6237" w:type="dxa"/>
            <w:gridSpan w:val="4"/>
          </w:tcPr>
          <w:p w14:paraId="601237B6" w14:textId="62492323" w:rsidR="00EF3818" w:rsidRPr="00824C5B" w:rsidRDefault="00EF3818" w:rsidP="00EF3818">
            <w:pPr>
              <w:jc w:val="both"/>
              <w:rPr>
                <w:rFonts w:ascii="Arial" w:hAnsi="Arial" w:cs="Arial"/>
                <w:sz w:val="18"/>
                <w:szCs w:val="18"/>
              </w:rPr>
            </w:pPr>
            <w:r w:rsidRPr="00824C5B">
              <w:rPr>
                <w:rFonts w:ascii="Arial" w:hAnsi="Arial" w:cs="Arial"/>
                <w:sz w:val="18"/>
                <w:szCs w:val="18"/>
              </w:rPr>
              <w:t xml:space="preserve">Bestätigung, dass die internen Verfahren die Durchführung von Marktanalysen </w:t>
            </w:r>
            <w:r w:rsidR="0073643D" w:rsidRPr="00824C5B">
              <w:rPr>
                <w:rFonts w:ascii="Arial" w:hAnsi="Arial" w:cs="Arial"/>
                <w:sz w:val="18"/>
                <w:szCs w:val="18"/>
              </w:rPr>
              <w:t>zur Identifikation</w:t>
            </w:r>
            <w:r w:rsidRPr="00824C5B">
              <w:rPr>
                <w:rFonts w:ascii="Arial" w:hAnsi="Arial" w:cs="Arial"/>
                <w:sz w:val="18"/>
                <w:szCs w:val="18"/>
              </w:rPr>
              <w:t xml:space="preserve"> </w:t>
            </w:r>
            <w:r w:rsidR="0073643D" w:rsidRPr="00824C5B">
              <w:rPr>
                <w:rFonts w:ascii="Arial" w:hAnsi="Arial" w:cs="Arial"/>
                <w:sz w:val="18"/>
                <w:szCs w:val="18"/>
              </w:rPr>
              <w:t xml:space="preserve">und Monitoring </w:t>
            </w:r>
            <w:r w:rsidRPr="00824C5B">
              <w:rPr>
                <w:rFonts w:ascii="Arial" w:hAnsi="Arial" w:cs="Arial"/>
                <w:sz w:val="18"/>
                <w:szCs w:val="18"/>
              </w:rPr>
              <w:t>potentielle</w:t>
            </w:r>
            <w:r w:rsidR="0073643D" w:rsidRPr="00824C5B">
              <w:rPr>
                <w:rFonts w:ascii="Arial" w:hAnsi="Arial" w:cs="Arial"/>
                <w:sz w:val="18"/>
                <w:szCs w:val="18"/>
              </w:rPr>
              <w:t>r</w:t>
            </w:r>
            <w:r w:rsidRPr="00824C5B">
              <w:rPr>
                <w:rFonts w:ascii="Arial" w:hAnsi="Arial" w:cs="Arial"/>
                <w:sz w:val="18"/>
                <w:szCs w:val="18"/>
              </w:rPr>
              <w:t xml:space="preserve"> Erwerber von Vermögenswerten</w:t>
            </w:r>
            <w:r w:rsidR="0073643D" w:rsidRPr="00824C5B">
              <w:rPr>
                <w:rFonts w:ascii="Arial" w:hAnsi="Arial" w:cs="Arial"/>
                <w:sz w:val="18"/>
                <w:szCs w:val="18"/>
              </w:rPr>
              <w:t xml:space="preserve"> </w:t>
            </w:r>
            <w:r w:rsidR="005170BB" w:rsidRPr="00824C5B">
              <w:rPr>
                <w:rFonts w:ascii="Arial" w:hAnsi="Arial" w:cs="Arial"/>
                <w:sz w:val="18"/>
                <w:szCs w:val="18"/>
              </w:rPr>
              <w:t xml:space="preserve">(unter Berücksichtigung potentieller regulatorischer oder anderer wesentlicher Hindernisse aus Erwerberperspektive) </w:t>
            </w:r>
            <w:r w:rsidRPr="00824C5B">
              <w:rPr>
                <w:rFonts w:ascii="Arial" w:hAnsi="Arial" w:cs="Arial"/>
                <w:sz w:val="18"/>
                <w:szCs w:val="18"/>
              </w:rPr>
              <w:t xml:space="preserve">auf zumindest jährlicher Basis </w:t>
            </w:r>
            <w:r w:rsidR="00354E79">
              <w:rPr>
                <w:rFonts w:ascii="Arial" w:hAnsi="Arial" w:cs="Arial"/>
                <w:sz w:val="18"/>
                <w:szCs w:val="18"/>
              </w:rPr>
              <w:t>ermöglichen</w:t>
            </w:r>
            <w:r w:rsidR="00354E79" w:rsidRPr="00824C5B">
              <w:rPr>
                <w:rFonts w:ascii="Arial" w:hAnsi="Arial" w:cs="Arial"/>
                <w:sz w:val="18"/>
                <w:szCs w:val="18"/>
              </w:rPr>
              <w:t xml:space="preserve"> </w:t>
            </w:r>
            <w:r w:rsidRPr="00824C5B">
              <w:rPr>
                <w:rFonts w:ascii="Arial" w:hAnsi="Arial" w:cs="Arial"/>
                <w:sz w:val="18"/>
                <w:szCs w:val="18"/>
              </w:rPr>
              <w:t>(MREL-Policy, Kapitel 5.2.2).</w:t>
            </w:r>
          </w:p>
        </w:tc>
        <w:tc>
          <w:tcPr>
            <w:tcW w:w="2522" w:type="dxa"/>
          </w:tcPr>
          <w:p w14:paraId="35F02419" w14:textId="0DF40BF8" w:rsidR="00EF3818" w:rsidRPr="00E109DF" w:rsidRDefault="00EF3818" w:rsidP="00EF381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6E88" w:rsidRPr="006A08D2" w14:paraId="7CD3A772" w14:textId="24333940" w:rsidTr="0096765A">
        <w:trPr>
          <w:trHeight w:val="156"/>
        </w:trPr>
        <w:tc>
          <w:tcPr>
            <w:tcW w:w="517" w:type="dxa"/>
          </w:tcPr>
          <w:p w14:paraId="1701D9DC" w14:textId="2AD5F3D2" w:rsidR="006E6E88" w:rsidRDefault="00240087" w:rsidP="006E6E88">
            <w:pPr>
              <w:jc w:val="both"/>
              <w:rPr>
                <w:rFonts w:ascii="Arial" w:hAnsi="Arial" w:cs="Arial"/>
                <w:sz w:val="18"/>
                <w:szCs w:val="18"/>
              </w:rPr>
            </w:pPr>
            <w:r>
              <w:rPr>
                <w:rFonts w:ascii="Arial" w:hAnsi="Arial" w:cs="Arial"/>
                <w:sz w:val="18"/>
                <w:szCs w:val="18"/>
              </w:rPr>
              <w:t>3</w:t>
            </w:r>
          </w:p>
        </w:tc>
        <w:tc>
          <w:tcPr>
            <w:tcW w:w="6237" w:type="dxa"/>
            <w:gridSpan w:val="4"/>
          </w:tcPr>
          <w:p w14:paraId="3D0F86EB" w14:textId="2F7A7E6E" w:rsidR="006E6E88" w:rsidRDefault="006E6E88" w:rsidP="006E6E88">
            <w:pPr>
              <w:rPr>
                <w:rFonts w:ascii="Arial" w:hAnsi="Arial" w:cs="Arial"/>
                <w:sz w:val="18"/>
                <w:szCs w:val="18"/>
              </w:rPr>
            </w:pPr>
            <w:r w:rsidRPr="00CB06D0" w:rsidDel="00863763">
              <w:rPr>
                <w:rFonts w:ascii="Arial" w:hAnsi="Arial" w:cs="Arial"/>
                <w:sz w:val="18"/>
                <w:szCs w:val="18"/>
              </w:rPr>
              <w:t xml:space="preserve">Bestätigung, dass die internen Verfahren </w:t>
            </w:r>
            <w:r w:rsidDel="00863763">
              <w:rPr>
                <w:rFonts w:ascii="Arial" w:hAnsi="Arial" w:cs="Arial"/>
                <w:sz w:val="18"/>
                <w:szCs w:val="18"/>
              </w:rPr>
              <w:t xml:space="preserve">in der Lage sind, geeignete Transferparameter («Übertragungsumfang»; </w:t>
            </w:r>
            <w:r w:rsidRPr="004815BA" w:rsidDel="00863763">
              <w:rPr>
                <w:rFonts w:ascii="Arial" w:hAnsi="Arial" w:cs="Arial"/>
                <w:sz w:val="18"/>
                <w:szCs w:val="18"/>
              </w:rPr>
              <w:t>EBA/GL/2022/11</w:t>
            </w:r>
            <w:r w:rsidDel="00863763">
              <w:rPr>
                <w:rFonts w:ascii="Arial" w:hAnsi="Arial" w:cs="Arial"/>
                <w:sz w:val="18"/>
                <w:szCs w:val="18"/>
              </w:rPr>
              <w:t>) zu erarbeiten sowie einen</w:t>
            </w:r>
            <w:r w:rsidRPr="00D779C1" w:rsidDel="00863763">
              <w:rPr>
                <w:rFonts w:ascii="Arial" w:hAnsi="Arial" w:cs="Arial"/>
                <w:sz w:val="18"/>
                <w:szCs w:val="18"/>
              </w:rPr>
              <w:t xml:space="preserve"> detaillierten Bericht zur </w:t>
            </w:r>
            <w:proofErr w:type="spellStart"/>
            <w:r w:rsidRPr="00D779C1" w:rsidDel="00863763">
              <w:rPr>
                <w:rFonts w:ascii="Arial" w:hAnsi="Arial" w:cs="Arial"/>
                <w:sz w:val="18"/>
                <w:szCs w:val="18"/>
              </w:rPr>
              <w:t>Separierbarkeit</w:t>
            </w:r>
            <w:proofErr w:type="spellEnd"/>
            <w:r w:rsidRPr="00D779C1" w:rsidDel="00863763">
              <w:rPr>
                <w:rFonts w:ascii="Arial" w:hAnsi="Arial" w:cs="Arial"/>
                <w:sz w:val="18"/>
                <w:szCs w:val="18"/>
              </w:rPr>
              <w:t xml:space="preserve"> von Vermögenswerten und Verbindlichkeiten </w:t>
            </w:r>
            <w:r w:rsidDel="00863763">
              <w:rPr>
                <w:rFonts w:ascii="Arial" w:hAnsi="Arial" w:cs="Arial"/>
                <w:sz w:val="18"/>
                <w:szCs w:val="18"/>
              </w:rPr>
              <w:t>(«SAR»), inkl. Verkaufswertschätzungen, zu erstellen.</w:t>
            </w:r>
          </w:p>
        </w:tc>
        <w:tc>
          <w:tcPr>
            <w:tcW w:w="2522" w:type="dxa"/>
          </w:tcPr>
          <w:p w14:paraId="17B7AF7A" w14:textId="2CD2DB97" w:rsidR="006E6E88" w:rsidRPr="00E109DF" w:rsidRDefault="00240087" w:rsidP="006E6E8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863763">
              <w:rPr>
                <w:rFonts w:ascii="Arial" w:hAnsi="Arial" w:cs="Arial"/>
                <w:i/>
                <w:sz w:val="18"/>
                <w:szCs w:val="18"/>
                <w:highlight w:val="yellow"/>
              </w:rPr>
              <w:t xml:space="preserve"> </w:t>
            </w:r>
          </w:p>
        </w:tc>
      </w:tr>
      <w:tr w:rsidR="006E6E88" w:rsidRPr="006A08D2" w14:paraId="40EC8BC0" w14:textId="77777777" w:rsidTr="0096765A">
        <w:trPr>
          <w:trHeight w:val="156"/>
        </w:trPr>
        <w:tc>
          <w:tcPr>
            <w:tcW w:w="517" w:type="dxa"/>
          </w:tcPr>
          <w:p w14:paraId="141D9355" w14:textId="79DD2BF1" w:rsidR="006E6E88" w:rsidRDefault="00240087" w:rsidP="006E6E88">
            <w:pPr>
              <w:jc w:val="both"/>
              <w:rPr>
                <w:rFonts w:ascii="Arial" w:hAnsi="Arial" w:cs="Arial"/>
                <w:sz w:val="18"/>
                <w:szCs w:val="18"/>
              </w:rPr>
            </w:pPr>
            <w:r>
              <w:rPr>
                <w:rFonts w:ascii="Arial" w:hAnsi="Arial" w:cs="Arial"/>
                <w:sz w:val="18"/>
                <w:szCs w:val="18"/>
              </w:rPr>
              <w:t>4</w:t>
            </w:r>
          </w:p>
        </w:tc>
        <w:tc>
          <w:tcPr>
            <w:tcW w:w="6237" w:type="dxa"/>
            <w:gridSpan w:val="4"/>
          </w:tcPr>
          <w:p w14:paraId="4DA9E18C" w14:textId="0554A9CF" w:rsidR="006E6E88" w:rsidRDefault="006E6E88" w:rsidP="006E6E88">
            <w:pPr>
              <w:rPr>
                <w:rFonts w:ascii="Arial" w:hAnsi="Arial" w:cs="Arial"/>
                <w:sz w:val="18"/>
                <w:szCs w:val="18"/>
              </w:rPr>
            </w:pPr>
            <w:r w:rsidRPr="00CB06D0">
              <w:rPr>
                <w:rFonts w:ascii="Arial" w:hAnsi="Arial" w:cs="Arial"/>
                <w:sz w:val="18"/>
                <w:szCs w:val="18"/>
              </w:rPr>
              <w:t xml:space="preserve">Bestätigung, dass </w:t>
            </w:r>
            <w:r w:rsidR="009026A1">
              <w:rPr>
                <w:rFonts w:ascii="Arial" w:hAnsi="Arial" w:cs="Arial"/>
                <w:sz w:val="18"/>
                <w:szCs w:val="18"/>
              </w:rPr>
              <w:t xml:space="preserve">Handbücher («Transfer </w:t>
            </w:r>
            <w:proofErr w:type="spellStart"/>
            <w:r w:rsidR="009026A1">
              <w:rPr>
                <w:rFonts w:ascii="Arial" w:hAnsi="Arial" w:cs="Arial"/>
                <w:sz w:val="18"/>
                <w:szCs w:val="18"/>
              </w:rPr>
              <w:t>Playbook</w:t>
            </w:r>
            <w:proofErr w:type="spellEnd"/>
            <w:r w:rsidR="009026A1">
              <w:rPr>
                <w:rFonts w:ascii="Arial" w:hAnsi="Arial" w:cs="Arial"/>
                <w:sz w:val="18"/>
                <w:szCs w:val="18"/>
              </w:rPr>
              <w:t xml:space="preserve">») </w:t>
            </w:r>
            <w:r w:rsidR="00CE6D86">
              <w:rPr>
                <w:rFonts w:ascii="Arial" w:hAnsi="Arial" w:cs="Arial"/>
                <w:sz w:val="18"/>
                <w:szCs w:val="18"/>
              </w:rPr>
              <w:t>die operative Durchführung der Transferstrategie</w:t>
            </w:r>
            <w:r w:rsidR="0072495B">
              <w:rPr>
                <w:rFonts w:ascii="Arial" w:hAnsi="Arial" w:cs="Arial"/>
                <w:sz w:val="18"/>
                <w:szCs w:val="18"/>
              </w:rPr>
              <w:t xml:space="preserve"> definieren</w:t>
            </w:r>
            <w:r w:rsidR="00CE6D86">
              <w:rPr>
                <w:rFonts w:ascii="Arial" w:hAnsi="Arial" w:cs="Arial"/>
                <w:sz w:val="18"/>
                <w:szCs w:val="18"/>
              </w:rPr>
              <w:t xml:space="preserve"> (</w:t>
            </w:r>
            <w:r w:rsidR="0072495B">
              <w:rPr>
                <w:rFonts w:ascii="Arial" w:hAnsi="Arial" w:cs="Arial"/>
                <w:sz w:val="18"/>
                <w:szCs w:val="18"/>
              </w:rPr>
              <w:t xml:space="preserve">inkl. </w:t>
            </w:r>
            <w:r w:rsidR="009E0DF0">
              <w:rPr>
                <w:rFonts w:ascii="Arial" w:hAnsi="Arial" w:cs="Arial"/>
                <w:sz w:val="18"/>
                <w:szCs w:val="18"/>
              </w:rPr>
              <w:t>Simulation des</w:t>
            </w:r>
            <w:r>
              <w:rPr>
                <w:rFonts w:ascii="Arial" w:hAnsi="Arial" w:cs="Arial"/>
                <w:sz w:val="18"/>
                <w:szCs w:val="18"/>
              </w:rPr>
              <w:t xml:space="preserve"> Transfer</w:t>
            </w:r>
            <w:r w:rsidR="009E0DF0">
              <w:rPr>
                <w:rFonts w:ascii="Arial" w:hAnsi="Arial" w:cs="Arial"/>
                <w:sz w:val="18"/>
                <w:szCs w:val="18"/>
              </w:rPr>
              <w:t>s</w:t>
            </w:r>
            <w:r>
              <w:rPr>
                <w:rFonts w:ascii="Arial" w:hAnsi="Arial" w:cs="Arial"/>
                <w:sz w:val="18"/>
                <w:szCs w:val="18"/>
              </w:rPr>
              <w:t xml:space="preserve"> einzelner Kunden </w:t>
            </w:r>
            <w:r w:rsidR="00CC3FB3">
              <w:rPr>
                <w:rFonts w:ascii="Arial" w:hAnsi="Arial" w:cs="Arial"/>
                <w:sz w:val="18"/>
                <w:szCs w:val="18"/>
              </w:rPr>
              <w:t xml:space="preserve">bezüglich </w:t>
            </w:r>
            <w:r>
              <w:rPr>
                <w:rFonts w:ascii="Arial" w:hAnsi="Arial" w:cs="Arial"/>
                <w:sz w:val="18"/>
                <w:szCs w:val="18"/>
              </w:rPr>
              <w:t>Kredite, Einlagen, Depot, Sicherheiten und ganzer Kundenstämme, einschliesslich einer Abschätzung von Dauer, Bepreisung und Kosten der Transaktio</w:t>
            </w:r>
            <w:r w:rsidR="00D32996">
              <w:rPr>
                <w:rFonts w:ascii="Arial" w:hAnsi="Arial" w:cs="Arial"/>
                <w:sz w:val="18"/>
                <w:szCs w:val="18"/>
              </w:rPr>
              <w:t>n</w:t>
            </w:r>
            <w:r>
              <w:rPr>
                <w:rFonts w:ascii="Arial" w:hAnsi="Arial" w:cs="Arial"/>
                <w:sz w:val="18"/>
                <w:szCs w:val="18"/>
              </w:rPr>
              <w:t>en</w:t>
            </w:r>
            <w:r w:rsidR="00CC3FB3">
              <w:rPr>
                <w:rFonts w:ascii="Arial" w:hAnsi="Arial" w:cs="Arial"/>
                <w:sz w:val="18"/>
                <w:szCs w:val="18"/>
              </w:rPr>
              <w:t xml:space="preserve"> </w:t>
            </w:r>
            <w:r w:rsidR="0072495B">
              <w:rPr>
                <w:rFonts w:ascii="Arial" w:hAnsi="Arial" w:cs="Arial"/>
                <w:sz w:val="18"/>
                <w:szCs w:val="18"/>
              </w:rPr>
              <w:t>und p</w:t>
            </w:r>
            <w:r w:rsidR="00943EE3">
              <w:rPr>
                <w:rFonts w:ascii="Arial" w:hAnsi="Arial" w:cs="Arial"/>
                <w:sz w:val="18"/>
                <w:szCs w:val="18"/>
              </w:rPr>
              <w:t>otentieller Interessenkonflikte</w:t>
            </w:r>
            <w:r w:rsidR="00CE6D86">
              <w:rPr>
                <w:rFonts w:ascii="Arial" w:hAnsi="Arial" w:cs="Arial"/>
                <w:sz w:val="18"/>
                <w:szCs w:val="18"/>
              </w:rPr>
              <w:t>)</w:t>
            </w:r>
            <w:r>
              <w:rPr>
                <w:rFonts w:ascii="Arial" w:hAnsi="Arial" w:cs="Arial"/>
                <w:sz w:val="18"/>
                <w:szCs w:val="18"/>
              </w:rPr>
              <w:t>.</w:t>
            </w:r>
          </w:p>
        </w:tc>
        <w:tc>
          <w:tcPr>
            <w:tcW w:w="2522" w:type="dxa"/>
          </w:tcPr>
          <w:p w14:paraId="093E9526" w14:textId="3EF42578" w:rsidR="006E6E88" w:rsidRPr="00E109DF" w:rsidRDefault="006E6E88" w:rsidP="006E6E8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6E88" w:rsidRPr="006A08D2" w14:paraId="663F51F5" w14:textId="77777777" w:rsidTr="0096765A">
        <w:trPr>
          <w:trHeight w:val="156"/>
        </w:trPr>
        <w:tc>
          <w:tcPr>
            <w:tcW w:w="517" w:type="dxa"/>
          </w:tcPr>
          <w:p w14:paraId="4A7B25C0" w14:textId="41954230" w:rsidR="006E6E88" w:rsidRDefault="00240087" w:rsidP="006E6E88">
            <w:pPr>
              <w:jc w:val="both"/>
              <w:rPr>
                <w:rFonts w:ascii="Arial" w:hAnsi="Arial" w:cs="Arial"/>
                <w:sz w:val="18"/>
                <w:szCs w:val="18"/>
              </w:rPr>
            </w:pPr>
            <w:r>
              <w:rPr>
                <w:rFonts w:ascii="Arial" w:hAnsi="Arial" w:cs="Arial"/>
                <w:sz w:val="18"/>
                <w:szCs w:val="18"/>
              </w:rPr>
              <w:t>5</w:t>
            </w:r>
          </w:p>
        </w:tc>
        <w:tc>
          <w:tcPr>
            <w:tcW w:w="6237" w:type="dxa"/>
            <w:gridSpan w:val="4"/>
          </w:tcPr>
          <w:p w14:paraId="716405F2" w14:textId="2CF3898E" w:rsidR="006E6E88" w:rsidRPr="00EF3818" w:rsidRDefault="00A11248" w:rsidP="006359F4">
            <w:pPr>
              <w:pStyle w:val="Kommentartext"/>
              <w:rPr>
                <w:rFonts w:ascii="Arial" w:hAnsi="Arial" w:cs="Arial"/>
                <w:sz w:val="18"/>
                <w:szCs w:val="18"/>
              </w:rPr>
            </w:pPr>
            <w:r w:rsidRPr="00A11248">
              <w:rPr>
                <w:rFonts w:ascii="Arial" w:hAnsi="Arial" w:cs="Arial"/>
                <w:sz w:val="18"/>
                <w:szCs w:val="18"/>
              </w:rPr>
              <w:t xml:space="preserve">Bestätigung, dass die internen Verfahren regelmässige Tests der operativen Durchführbarkeit der Transferstrategie («Dry-runs») gemäss Handbüchern ("Transfer </w:t>
            </w:r>
            <w:proofErr w:type="spellStart"/>
            <w:r w:rsidRPr="00A11248">
              <w:rPr>
                <w:rFonts w:ascii="Arial" w:hAnsi="Arial" w:cs="Arial"/>
                <w:sz w:val="18"/>
                <w:szCs w:val="18"/>
              </w:rPr>
              <w:t>Playbook</w:t>
            </w:r>
            <w:proofErr w:type="spellEnd"/>
            <w:r w:rsidRPr="00A11248">
              <w:rPr>
                <w:rFonts w:ascii="Arial" w:hAnsi="Arial" w:cs="Arial"/>
                <w:sz w:val="18"/>
                <w:szCs w:val="18"/>
              </w:rPr>
              <w:t>") unter verschiedenen Abwicklungsszenarien ermöglichen</w:t>
            </w:r>
            <w:r w:rsidR="00B00162">
              <w:rPr>
                <w:rFonts w:ascii="Arial" w:hAnsi="Arial" w:cs="Arial"/>
                <w:sz w:val="18"/>
                <w:szCs w:val="18"/>
              </w:rPr>
              <w:t xml:space="preserve"> </w:t>
            </w:r>
            <w:r w:rsidR="000410F3">
              <w:rPr>
                <w:rFonts w:ascii="Arial" w:hAnsi="Arial" w:cs="Arial"/>
                <w:sz w:val="18"/>
                <w:szCs w:val="18"/>
              </w:rPr>
              <w:t>(</w:t>
            </w:r>
            <w:r w:rsidR="006E6E88" w:rsidRPr="00C614A2">
              <w:rPr>
                <w:rFonts w:ascii="Arial" w:hAnsi="Arial" w:cs="Arial"/>
                <w:sz w:val="18"/>
                <w:szCs w:val="18"/>
              </w:rPr>
              <w:t>EBA/GL/2022/11, Kapitel 5.3).</w:t>
            </w:r>
          </w:p>
        </w:tc>
        <w:tc>
          <w:tcPr>
            <w:tcW w:w="2522" w:type="dxa"/>
          </w:tcPr>
          <w:p w14:paraId="254514E5" w14:textId="667BCE7B" w:rsidR="006E6E88" w:rsidRPr="00E109DF" w:rsidRDefault="006E6E88" w:rsidP="006E6E8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CED9085" w14:textId="17C9AE82" w:rsidR="3A0A566E" w:rsidRDefault="3A0A566E" w:rsidP="3A0A566E"/>
    <w:tbl>
      <w:tblPr>
        <w:tblStyle w:val="Tabellenraster"/>
        <w:tblW w:w="0" w:type="auto"/>
        <w:tblLook w:val="04A0" w:firstRow="1" w:lastRow="0" w:firstColumn="1" w:lastColumn="0" w:noHBand="0" w:noVBand="1"/>
      </w:tblPr>
      <w:tblGrid>
        <w:gridCol w:w="1980"/>
        <w:gridCol w:w="7229"/>
      </w:tblGrid>
      <w:tr w:rsidR="000771D9" w14:paraId="327698C1" w14:textId="77777777" w:rsidTr="0096765A">
        <w:trPr>
          <w:trHeight w:val="300"/>
        </w:trPr>
        <w:tc>
          <w:tcPr>
            <w:tcW w:w="1980" w:type="dxa"/>
          </w:tcPr>
          <w:p w14:paraId="2A4814CA" w14:textId="77777777" w:rsidR="000771D9" w:rsidRDefault="000771D9">
            <w:pPr>
              <w:jc w:val="both"/>
              <w:rPr>
                <w:rFonts w:ascii="Arial" w:hAnsi="Arial" w:cs="Arial"/>
                <w:b/>
                <w:bCs/>
                <w:i/>
                <w:iCs/>
                <w:sz w:val="18"/>
                <w:szCs w:val="18"/>
              </w:rPr>
            </w:pPr>
            <w:r w:rsidRPr="5F2CC23C">
              <w:rPr>
                <w:rFonts w:ascii="Arial" w:hAnsi="Arial" w:cs="Arial"/>
                <w:b/>
                <w:bCs/>
                <w:i/>
                <w:iCs/>
                <w:sz w:val="18"/>
                <w:szCs w:val="18"/>
              </w:rPr>
              <w:t>Prüfelemente</w:t>
            </w:r>
          </w:p>
        </w:tc>
        <w:tc>
          <w:tcPr>
            <w:tcW w:w="7229" w:type="dxa"/>
          </w:tcPr>
          <w:p w14:paraId="2A524D92" w14:textId="77777777" w:rsidR="000771D9" w:rsidRDefault="000771D9">
            <w:pPr>
              <w:jc w:val="both"/>
              <w:rPr>
                <w:rFonts w:ascii="Arial" w:hAnsi="Arial" w:cs="Arial"/>
                <w:b/>
                <w:bCs/>
                <w:i/>
                <w:iCs/>
                <w:sz w:val="18"/>
                <w:szCs w:val="18"/>
              </w:rPr>
            </w:pPr>
            <w:r w:rsidRPr="5F2CC23C">
              <w:rPr>
                <w:rFonts w:ascii="Arial" w:hAnsi="Arial" w:cs="Arial"/>
                <w:b/>
                <w:bCs/>
                <w:i/>
                <w:iCs/>
                <w:sz w:val="18"/>
                <w:szCs w:val="18"/>
              </w:rPr>
              <w:t>Mindestprüfinhalte («Muster»)</w:t>
            </w:r>
          </w:p>
        </w:tc>
      </w:tr>
      <w:tr w:rsidR="000771D9" w14:paraId="33901D98" w14:textId="77777777" w:rsidTr="0096765A">
        <w:trPr>
          <w:trHeight w:val="300"/>
        </w:trPr>
        <w:tc>
          <w:tcPr>
            <w:tcW w:w="1980" w:type="dxa"/>
          </w:tcPr>
          <w:p w14:paraId="0ACEFF3B" w14:textId="77777777" w:rsidR="000771D9" w:rsidRDefault="000771D9">
            <w:pPr>
              <w:spacing w:line="259" w:lineRule="auto"/>
              <w:jc w:val="both"/>
              <w:rPr>
                <w:rFonts w:ascii="Arial" w:hAnsi="Arial" w:cs="Arial"/>
                <w:i/>
                <w:iCs/>
                <w:sz w:val="18"/>
                <w:szCs w:val="18"/>
              </w:rPr>
            </w:pPr>
            <w:r w:rsidRPr="5F2CC23C">
              <w:rPr>
                <w:rFonts w:ascii="Arial" w:eastAsia="Arial" w:hAnsi="Arial" w:cs="Arial"/>
                <w:i/>
                <w:iCs/>
                <w:sz w:val="18"/>
                <w:szCs w:val="18"/>
              </w:rPr>
              <w:t xml:space="preserve">Interne Organisation </w:t>
            </w:r>
          </w:p>
        </w:tc>
        <w:tc>
          <w:tcPr>
            <w:tcW w:w="7229" w:type="dxa"/>
          </w:tcPr>
          <w:p w14:paraId="4222291D" w14:textId="77777777" w:rsidR="000771D9" w:rsidRDefault="000771D9">
            <w:pPr>
              <w:pStyle w:val="Listenabsatz"/>
              <w:numPr>
                <w:ilvl w:val="1"/>
                <w:numId w:val="10"/>
              </w:numPr>
              <w:spacing w:line="259" w:lineRule="auto"/>
              <w:ind w:left="317" w:hanging="283"/>
              <w:jc w:val="both"/>
            </w:pPr>
            <w:r w:rsidRPr="559817E7">
              <w:rPr>
                <w:rFonts w:eastAsia="Arial" w:cs="Arial"/>
                <w:i/>
                <w:sz w:val="18"/>
                <w:szCs w:val="18"/>
              </w:rPr>
              <w:t>Die interne Organisationsstruktur (z.B. Weisungswesen, technische, personelle und fachliche Ressourcen)</w:t>
            </w:r>
            <w:r w:rsidRPr="5F2CC23C">
              <w:rPr>
                <w:rFonts w:eastAsia="Arial" w:cs="Arial"/>
                <w:i/>
                <w:iCs/>
                <w:sz w:val="18"/>
                <w:szCs w:val="18"/>
              </w:rPr>
              <w:t xml:space="preserve"> stellt sicher, dass Verfahren </w:t>
            </w:r>
            <w:r>
              <w:rPr>
                <w:rFonts w:eastAsia="Arial" w:cs="Arial"/>
                <w:i/>
                <w:iCs/>
                <w:sz w:val="18"/>
                <w:szCs w:val="18"/>
              </w:rPr>
              <w:t>zur</w:t>
            </w:r>
            <w:r w:rsidRPr="5F2CC23C">
              <w:rPr>
                <w:rFonts w:eastAsia="Arial" w:cs="Arial"/>
                <w:i/>
                <w:iCs/>
                <w:sz w:val="18"/>
                <w:szCs w:val="18"/>
              </w:rPr>
              <w:t xml:space="preserve"> </w:t>
            </w:r>
            <w:r w:rsidRPr="559817E7">
              <w:rPr>
                <w:rFonts w:eastAsia="Arial" w:cs="Arial"/>
                <w:i/>
                <w:iCs/>
                <w:sz w:val="18"/>
                <w:szCs w:val="18"/>
              </w:rPr>
              <w:t>Initiierung eines Verkaufsprozesses</w:t>
            </w:r>
            <w:r>
              <w:rPr>
                <w:rFonts w:eastAsia="Arial" w:cs="Arial"/>
                <w:i/>
                <w:iCs/>
                <w:sz w:val="18"/>
                <w:szCs w:val="18"/>
              </w:rPr>
              <w:t>,</w:t>
            </w:r>
            <w:r w:rsidRPr="559817E7">
              <w:rPr>
                <w:rFonts w:eastAsia="Arial" w:cs="Arial"/>
                <w:i/>
                <w:iCs/>
                <w:sz w:val="18"/>
                <w:szCs w:val="18"/>
              </w:rPr>
              <w:t xml:space="preserve"> </w:t>
            </w:r>
            <w:r>
              <w:rPr>
                <w:rFonts w:eastAsia="Arial" w:cs="Arial"/>
                <w:i/>
                <w:iCs/>
                <w:sz w:val="18"/>
                <w:szCs w:val="18"/>
              </w:rPr>
              <w:t xml:space="preserve">zur </w:t>
            </w:r>
            <w:r w:rsidRPr="5F2CC23C">
              <w:rPr>
                <w:rFonts w:eastAsia="Arial" w:cs="Arial"/>
                <w:i/>
                <w:iCs/>
                <w:sz w:val="18"/>
                <w:szCs w:val="18"/>
              </w:rPr>
              <w:t xml:space="preserve">Durchführung </w:t>
            </w:r>
            <w:r w:rsidRPr="559817E7">
              <w:rPr>
                <w:rFonts w:eastAsia="Arial" w:cs="Arial"/>
                <w:i/>
                <w:iCs/>
                <w:sz w:val="18"/>
                <w:szCs w:val="18"/>
              </w:rPr>
              <w:t>von Marktanalysen</w:t>
            </w:r>
            <w:r>
              <w:rPr>
                <w:rFonts w:eastAsia="Arial" w:cs="Arial"/>
                <w:i/>
                <w:iCs/>
                <w:sz w:val="18"/>
                <w:szCs w:val="18"/>
              </w:rPr>
              <w:t xml:space="preserve"> </w:t>
            </w:r>
            <w:r w:rsidRPr="559817E7">
              <w:rPr>
                <w:rFonts w:eastAsia="Arial" w:cs="Arial"/>
                <w:i/>
                <w:iCs/>
                <w:sz w:val="18"/>
                <w:szCs w:val="18"/>
              </w:rPr>
              <w:t>und</w:t>
            </w:r>
            <w:r>
              <w:rPr>
                <w:rFonts w:eastAsia="Arial" w:cs="Arial"/>
                <w:i/>
                <w:iCs/>
                <w:sz w:val="18"/>
                <w:szCs w:val="18"/>
              </w:rPr>
              <w:t xml:space="preserve"> </w:t>
            </w:r>
            <w:r w:rsidRPr="559817E7">
              <w:rPr>
                <w:rFonts w:eastAsia="Arial" w:cs="Arial"/>
                <w:i/>
                <w:iCs/>
                <w:sz w:val="18"/>
                <w:szCs w:val="18"/>
              </w:rPr>
              <w:t>Tests der Transferstrategie</w:t>
            </w:r>
            <w:r w:rsidRPr="5F2CC23C">
              <w:rPr>
                <w:rFonts w:eastAsia="Arial" w:cs="Arial"/>
                <w:i/>
                <w:iCs/>
                <w:sz w:val="18"/>
                <w:szCs w:val="18"/>
              </w:rPr>
              <w:t xml:space="preserve"> </w:t>
            </w:r>
            <w:r>
              <w:rPr>
                <w:rFonts w:eastAsia="Arial" w:cs="Arial"/>
                <w:i/>
                <w:iCs/>
                <w:sz w:val="18"/>
                <w:szCs w:val="18"/>
              </w:rPr>
              <w:t>existieren</w:t>
            </w:r>
          </w:p>
        </w:tc>
      </w:tr>
      <w:tr w:rsidR="000771D9" w14:paraId="042762EA" w14:textId="77777777" w:rsidTr="0096765A">
        <w:trPr>
          <w:trHeight w:val="300"/>
        </w:trPr>
        <w:tc>
          <w:tcPr>
            <w:tcW w:w="1980" w:type="dxa"/>
          </w:tcPr>
          <w:p w14:paraId="3ACC24D0" w14:textId="77777777" w:rsidR="000771D9" w:rsidRDefault="000771D9">
            <w:pPr>
              <w:spacing w:line="259" w:lineRule="auto"/>
              <w:jc w:val="both"/>
              <w:rPr>
                <w:rFonts w:ascii="Arial" w:hAnsi="Arial" w:cs="Arial"/>
                <w:i/>
                <w:iCs/>
                <w:sz w:val="18"/>
                <w:szCs w:val="18"/>
              </w:rPr>
            </w:pPr>
            <w:r w:rsidRPr="5F2CC23C">
              <w:rPr>
                <w:rFonts w:ascii="Arial" w:eastAsia="Arial" w:hAnsi="Arial" w:cs="Arial"/>
                <w:i/>
                <w:iCs/>
                <w:sz w:val="18"/>
                <w:szCs w:val="18"/>
              </w:rPr>
              <w:lastRenderedPageBreak/>
              <w:t>Internes Kontrollsystem, Prozesse und Berichterstattung</w:t>
            </w:r>
          </w:p>
        </w:tc>
        <w:tc>
          <w:tcPr>
            <w:tcW w:w="7229" w:type="dxa"/>
          </w:tcPr>
          <w:p w14:paraId="44AD1C2D" w14:textId="77777777" w:rsidR="000771D9" w:rsidRDefault="000771D9">
            <w:pPr>
              <w:pStyle w:val="Listenabsatz"/>
              <w:numPr>
                <w:ilvl w:val="0"/>
                <w:numId w:val="14"/>
              </w:numPr>
              <w:spacing w:line="259" w:lineRule="auto"/>
              <w:ind w:left="317" w:hanging="283"/>
              <w:jc w:val="both"/>
              <w:rPr>
                <w:sz w:val="18"/>
                <w:szCs w:val="18"/>
              </w:rPr>
            </w:pPr>
            <w:r w:rsidRPr="00ED2078">
              <w:rPr>
                <w:i/>
                <w:iCs/>
                <w:sz w:val="18"/>
                <w:szCs w:val="18"/>
              </w:rPr>
              <w:t xml:space="preserve">Die internen Verfahren sehen die Anwendung des 4-Augen-Prinzips </w:t>
            </w:r>
            <w:r>
              <w:rPr>
                <w:i/>
                <w:iCs/>
                <w:sz w:val="18"/>
                <w:szCs w:val="18"/>
              </w:rPr>
              <w:t>bzw.</w:t>
            </w:r>
            <w:r w:rsidRPr="00ED2078">
              <w:rPr>
                <w:i/>
                <w:iCs/>
                <w:sz w:val="18"/>
                <w:szCs w:val="18"/>
              </w:rPr>
              <w:t xml:space="preserve"> Funktionstrennung bei Schlüsselkontrollen vor </w:t>
            </w:r>
            <w:r w:rsidRPr="00ED2078">
              <w:rPr>
                <w:sz w:val="18"/>
                <w:szCs w:val="18"/>
              </w:rPr>
              <w:t xml:space="preserve"> </w:t>
            </w:r>
          </w:p>
          <w:p w14:paraId="401EB14E" w14:textId="77777777" w:rsidR="000771D9" w:rsidRDefault="000771D9">
            <w:pPr>
              <w:pStyle w:val="Listenabsatz"/>
              <w:numPr>
                <w:ilvl w:val="0"/>
                <w:numId w:val="14"/>
              </w:numPr>
              <w:spacing w:line="259" w:lineRule="auto"/>
              <w:ind w:left="317" w:hanging="283"/>
              <w:jc w:val="both"/>
              <w:rPr>
                <w:i/>
                <w:sz w:val="18"/>
                <w:szCs w:val="18"/>
              </w:rPr>
            </w:pPr>
            <w:r w:rsidRPr="00ED2078">
              <w:rPr>
                <w:i/>
                <w:iCs/>
                <w:sz w:val="18"/>
                <w:szCs w:val="18"/>
              </w:rPr>
              <w:t>Es sind Verfahren zur Initiierung eines Verkaufsprozesses inklusive Einrichtung eines virtuellen Datenraums definiert</w:t>
            </w:r>
            <w:r w:rsidRPr="28BCA7B2">
              <w:rPr>
                <w:i/>
                <w:sz w:val="18"/>
                <w:szCs w:val="18"/>
              </w:rPr>
              <w:t xml:space="preserve"> </w:t>
            </w:r>
          </w:p>
          <w:p w14:paraId="7484D7B2" w14:textId="77777777" w:rsidR="000771D9" w:rsidRDefault="000771D9">
            <w:pPr>
              <w:pStyle w:val="Listenabsatz"/>
              <w:numPr>
                <w:ilvl w:val="0"/>
                <w:numId w:val="14"/>
              </w:numPr>
              <w:spacing w:line="259" w:lineRule="auto"/>
              <w:ind w:left="317" w:hanging="283"/>
              <w:jc w:val="both"/>
              <w:rPr>
                <w:i/>
                <w:sz w:val="18"/>
                <w:szCs w:val="18"/>
              </w:rPr>
            </w:pPr>
            <w:r w:rsidRPr="00ED2078">
              <w:rPr>
                <w:i/>
                <w:iCs/>
                <w:sz w:val="18"/>
                <w:szCs w:val="18"/>
              </w:rPr>
              <w:t>Es sind Verfahren zur jährlichen Durchführung von Marktanalysen zur Identifikation potentieller Erwerber definiert</w:t>
            </w:r>
            <w:r w:rsidRPr="28BCA7B2">
              <w:rPr>
                <w:i/>
                <w:sz w:val="18"/>
                <w:szCs w:val="18"/>
              </w:rPr>
              <w:t xml:space="preserve"> </w:t>
            </w:r>
          </w:p>
          <w:p w14:paraId="2753CA1E" w14:textId="77777777" w:rsidR="000771D9" w:rsidRDefault="000771D9">
            <w:pPr>
              <w:pStyle w:val="Listenabsatz"/>
              <w:numPr>
                <w:ilvl w:val="0"/>
                <w:numId w:val="14"/>
              </w:numPr>
              <w:spacing w:line="259" w:lineRule="auto"/>
              <w:ind w:left="317" w:hanging="283"/>
              <w:jc w:val="both"/>
              <w:rPr>
                <w:i/>
                <w:sz w:val="18"/>
                <w:szCs w:val="18"/>
              </w:rPr>
            </w:pPr>
            <w:r w:rsidRPr="00ED2078">
              <w:rPr>
                <w:i/>
                <w:iCs/>
                <w:sz w:val="18"/>
                <w:szCs w:val="18"/>
              </w:rPr>
              <w:t>Die Handbücher definieren die operative Durchführung der Transferstrategie und enthalten Einschätzungen zu Dauer, Bepreisung, Kosten und potentiellen Interessenskonflikten.</w:t>
            </w:r>
          </w:p>
          <w:p w14:paraId="547D9D84" w14:textId="77777777" w:rsidR="000771D9" w:rsidRDefault="000771D9">
            <w:pPr>
              <w:pStyle w:val="Listenabsatz"/>
              <w:numPr>
                <w:ilvl w:val="0"/>
                <w:numId w:val="14"/>
              </w:numPr>
              <w:spacing w:line="259" w:lineRule="auto"/>
              <w:ind w:left="317" w:hanging="283"/>
              <w:jc w:val="both"/>
              <w:rPr>
                <w:i/>
                <w:sz w:val="18"/>
                <w:szCs w:val="18"/>
              </w:rPr>
            </w:pPr>
            <w:r w:rsidRPr="00CF45AE">
              <w:rPr>
                <w:i/>
                <w:sz w:val="18"/>
                <w:szCs w:val="18"/>
              </w:rPr>
              <w:t xml:space="preserve">Es werden mindestens jährliche Testläufe zur Beurteilung der Angemessenheit des MIS durchgeführt. Die Testläufe werden unter Annahme verschiedener Krisenszenarien durchgeführt  </w:t>
            </w:r>
          </w:p>
          <w:p w14:paraId="7210A8C4" w14:textId="15F0D3B2" w:rsidR="000771D9" w:rsidRPr="00946A82" w:rsidRDefault="000771D9">
            <w:pPr>
              <w:pStyle w:val="Listenabsatz"/>
              <w:numPr>
                <w:ilvl w:val="0"/>
                <w:numId w:val="14"/>
              </w:numPr>
              <w:spacing w:line="259" w:lineRule="auto"/>
              <w:ind w:left="317" w:hanging="283"/>
              <w:jc w:val="both"/>
              <w:rPr>
                <w:i/>
                <w:sz w:val="18"/>
                <w:szCs w:val="18"/>
              </w:rPr>
            </w:pPr>
            <w:r>
              <w:rPr>
                <w:i/>
                <w:sz w:val="18"/>
                <w:szCs w:val="18"/>
              </w:rPr>
              <w:t xml:space="preserve">Ein </w:t>
            </w:r>
            <w:proofErr w:type="spellStart"/>
            <w:r>
              <w:rPr>
                <w:i/>
                <w:sz w:val="18"/>
                <w:szCs w:val="18"/>
              </w:rPr>
              <w:t>Separability</w:t>
            </w:r>
            <w:proofErr w:type="spellEnd"/>
            <w:r>
              <w:rPr>
                <w:i/>
                <w:sz w:val="18"/>
                <w:szCs w:val="18"/>
              </w:rPr>
              <w:t xml:space="preserve"> Analysis Report wird jährlich erstellt</w:t>
            </w:r>
          </w:p>
        </w:tc>
      </w:tr>
    </w:tbl>
    <w:p w14:paraId="0ECC2BDE" w14:textId="17C9AE82" w:rsidR="5F2CC23C" w:rsidRDefault="5F2CC23C" w:rsidP="5F2CC23C"/>
    <w:p w14:paraId="0A1CAB78" w14:textId="77777777" w:rsidR="001469E9" w:rsidRDefault="009464E8" w:rsidP="00C37D08">
      <w:pPr>
        <w:pStyle w:val="FINMAGliederungEbene1"/>
      </w:pPr>
      <w:bookmarkStart w:id="61" w:name="_Toc147141458"/>
      <w:r>
        <w:t>Weitere Bemerkungen</w:t>
      </w:r>
      <w:bookmarkEnd w:id="61"/>
    </w:p>
    <w:p w14:paraId="08EAC8E7" w14:textId="77777777" w:rsidR="009464E8" w:rsidRDefault="009464E8" w:rsidP="009464E8">
      <w:pPr>
        <w:pStyle w:val="Listenabsatz"/>
        <w:ind w:left="360"/>
        <w:jc w:val="both"/>
      </w:pPr>
    </w:p>
    <w:p w14:paraId="322A0323" w14:textId="07E03EAC" w:rsidR="009464E8" w:rsidRDefault="009464E8" w:rsidP="009464E8">
      <w:pPr>
        <w:jc w:val="both"/>
        <w:rPr>
          <w:rFonts w:ascii="Arial" w:hAnsi="Arial" w:cs="Arial"/>
          <w:i/>
          <w:sz w:val="20"/>
          <w:szCs w:val="20"/>
        </w:rPr>
      </w:pPr>
      <w:r w:rsidRPr="009464E8">
        <w:rPr>
          <w:rFonts w:ascii="Arial" w:hAnsi="Arial" w:cs="Arial"/>
          <w:i/>
          <w:sz w:val="20"/>
          <w:szCs w:val="20"/>
          <w:highlight w:val="lightGray"/>
        </w:rPr>
        <w:t xml:space="preserve">Die weiteren Bemerkungen/Hinweise dienen der Ergänzung der vorgehend aufgeführten Sachverhalte. Sie sollen, wo es </w:t>
      </w:r>
      <w:r w:rsidR="005D2709">
        <w:rPr>
          <w:rFonts w:ascii="Arial" w:hAnsi="Arial" w:cs="Arial"/>
          <w:i/>
          <w:sz w:val="20"/>
          <w:szCs w:val="20"/>
          <w:highlight w:val="lightGray"/>
        </w:rPr>
        <w:t xml:space="preserve">der </w:t>
      </w:r>
      <w:r w:rsidR="00697F22" w:rsidRPr="00697F22">
        <w:rPr>
          <w:rFonts w:ascii="Arial" w:hAnsi="Arial" w:cs="Arial"/>
          <w:i/>
          <w:sz w:val="20"/>
          <w:szCs w:val="20"/>
          <w:highlight w:val="lightGray"/>
        </w:rPr>
        <w:t>Wirtschaftsprüfer</w:t>
      </w:r>
      <w:r w:rsidR="005D2709" w:rsidRPr="00193A84">
        <w:rPr>
          <w:rFonts w:ascii="Arial" w:hAnsi="Arial" w:cs="Arial"/>
          <w:i/>
          <w:sz w:val="20"/>
          <w:szCs w:val="20"/>
          <w:highlight w:val="lightGray"/>
        </w:rPr>
        <w:t xml:space="preserve"> </w:t>
      </w:r>
      <w:r w:rsidRPr="009464E8">
        <w:rPr>
          <w:rFonts w:ascii="Arial" w:hAnsi="Arial" w:cs="Arial"/>
          <w:i/>
          <w:sz w:val="20"/>
          <w:szCs w:val="20"/>
          <w:highlight w:val="lightGray"/>
        </w:rPr>
        <w:t xml:space="preserve">für erforderlich hält, dazu dienen, das Gesamtbild des Berichts über die </w:t>
      </w:r>
      <w:r w:rsidR="0012542F">
        <w:rPr>
          <w:rFonts w:ascii="Arial" w:hAnsi="Arial" w:cs="Arial"/>
          <w:i/>
          <w:sz w:val="20"/>
          <w:szCs w:val="20"/>
          <w:highlight w:val="lightGray"/>
        </w:rPr>
        <w:t>P</w:t>
      </w:r>
      <w:r w:rsidRPr="009464E8">
        <w:rPr>
          <w:rFonts w:ascii="Arial" w:hAnsi="Arial" w:cs="Arial"/>
          <w:i/>
          <w:sz w:val="20"/>
          <w:szCs w:val="20"/>
          <w:highlight w:val="lightGray"/>
        </w:rPr>
        <w:t xml:space="preserve">rüfung abzurunden. Sie dürfen nicht so formuliert werden, dass sie die im vorliegenden Bericht eindeutig getroffenen Prüfbestätigungen </w:t>
      </w:r>
      <w:r w:rsidR="005D2709">
        <w:rPr>
          <w:rFonts w:ascii="Arial" w:hAnsi="Arial" w:cs="Arial"/>
          <w:i/>
          <w:sz w:val="20"/>
          <w:szCs w:val="20"/>
          <w:highlight w:val="lightGray"/>
        </w:rPr>
        <w:t xml:space="preserve">des </w:t>
      </w:r>
      <w:r w:rsidR="00697F22" w:rsidRPr="00697F22">
        <w:rPr>
          <w:rFonts w:ascii="Arial" w:hAnsi="Arial" w:cs="Arial"/>
          <w:i/>
          <w:sz w:val="20"/>
          <w:szCs w:val="20"/>
          <w:highlight w:val="lightGray"/>
        </w:rPr>
        <w:t>Wirtschaftsprüfer</w:t>
      </w:r>
      <w:r w:rsidR="00697F22">
        <w:rPr>
          <w:rFonts w:ascii="Arial" w:hAnsi="Arial" w:cs="Arial"/>
          <w:i/>
          <w:sz w:val="20"/>
          <w:szCs w:val="20"/>
          <w:highlight w:val="lightGray"/>
        </w:rPr>
        <w:t>s</w:t>
      </w:r>
      <w:r w:rsidR="005D2709" w:rsidRPr="00193A84">
        <w:rPr>
          <w:rFonts w:ascii="Arial" w:hAnsi="Arial" w:cs="Arial"/>
          <w:i/>
          <w:sz w:val="20"/>
          <w:szCs w:val="20"/>
          <w:highlight w:val="lightGray"/>
        </w:rPr>
        <w:t xml:space="preserve"> </w:t>
      </w:r>
      <w:r w:rsidRPr="009464E8">
        <w:rPr>
          <w:rFonts w:ascii="Arial" w:hAnsi="Arial" w:cs="Arial"/>
          <w:i/>
          <w:sz w:val="20"/>
          <w:szCs w:val="20"/>
          <w:highlight w:val="lightGray"/>
        </w:rPr>
        <w:t>relativieren.</w:t>
      </w:r>
      <w:r>
        <w:rPr>
          <w:rFonts w:ascii="Arial" w:hAnsi="Arial" w:cs="Arial"/>
          <w:i/>
          <w:sz w:val="20"/>
          <w:szCs w:val="20"/>
        </w:rPr>
        <w:t xml:space="preserve"> </w:t>
      </w:r>
    </w:p>
    <w:p w14:paraId="12D5BCEF" w14:textId="77777777" w:rsidR="002D19EC" w:rsidRDefault="002D19EC" w:rsidP="00CB3EE6">
      <w:pPr>
        <w:pStyle w:val="Listenabsatz"/>
        <w:ind w:left="360"/>
        <w:jc w:val="both"/>
      </w:pPr>
    </w:p>
    <w:p w14:paraId="2CBDEB20" w14:textId="1087D7D5" w:rsidR="001469E9" w:rsidRDefault="001469E9" w:rsidP="00C37D08">
      <w:pPr>
        <w:pStyle w:val="FINMAGliederungEbene1"/>
      </w:pPr>
      <w:bookmarkStart w:id="62" w:name="_Toc147141459"/>
      <w:r>
        <w:t xml:space="preserve">Unterschrift / Bestätigung </w:t>
      </w:r>
      <w:r w:rsidR="005D2709">
        <w:t xml:space="preserve">des </w:t>
      </w:r>
      <w:r w:rsidR="00697F22" w:rsidRPr="00697F22">
        <w:t>Wirtschaftsprüfer</w:t>
      </w:r>
      <w:r w:rsidR="00697F22">
        <w:t>s</w:t>
      </w:r>
      <w:bookmarkEnd w:id="62"/>
      <w:r w:rsidR="005D2709" w:rsidRPr="005D2709">
        <w:t xml:space="preserve"> </w:t>
      </w:r>
    </w:p>
    <w:p w14:paraId="0CF1FD59" w14:textId="77777777" w:rsidR="001469E9" w:rsidRDefault="001469E9" w:rsidP="001469E9">
      <w:pPr>
        <w:jc w:val="both"/>
      </w:pPr>
    </w:p>
    <w:p w14:paraId="3A910730" w14:textId="3294F71F"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w:t>
      </w:r>
      <w:r w:rsidR="0012542F">
        <w:rPr>
          <w:rFonts w:ascii="Arial" w:hAnsi="Arial" w:cs="Arial"/>
          <w:i/>
          <w:sz w:val="20"/>
          <w:szCs w:val="20"/>
          <w:highlight w:val="lightGray"/>
        </w:rPr>
        <w:t>Prüfung</w:t>
      </w:r>
      <w:r w:rsidR="00A04645" w:rsidRPr="009464E8">
        <w:rPr>
          <w:rFonts w:ascii="Arial" w:hAnsi="Arial" w:cs="Arial"/>
          <w:i/>
          <w:sz w:val="20"/>
          <w:szCs w:val="20"/>
          <w:highlight w:val="lightGray"/>
        </w:rPr>
        <w:t xml:space="preserv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w:t>
      </w:r>
      <w:r w:rsidR="00697F22">
        <w:rPr>
          <w:rFonts w:ascii="Arial" w:hAnsi="Arial" w:cs="Arial"/>
          <w:i/>
          <w:sz w:val="20"/>
          <w:szCs w:val="20"/>
          <w:highlight w:val="lightGray"/>
        </w:rPr>
        <w:t xml:space="preserve">verantwortlichen </w:t>
      </w:r>
      <w:r w:rsidR="00697F22" w:rsidRPr="00697F22">
        <w:rPr>
          <w:rFonts w:ascii="Arial" w:hAnsi="Arial" w:cs="Arial"/>
          <w:i/>
          <w:sz w:val="20"/>
          <w:szCs w:val="20"/>
          <w:highlight w:val="lightGray"/>
        </w:rPr>
        <w:t>Wirtschaftsprüfer</w:t>
      </w:r>
      <w:r w:rsidR="00697F22">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sowie einer weiteren Person mit Zeichnungsberechtigung </w:t>
      </w:r>
      <w:r w:rsidR="009464E8" w:rsidRPr="009464E8">
        <w:rPr>
          <w:rFonts w:ascii="Arial" w:hAnsi="Arial" w:cs="Arial"/>
          <w:i/>
          <w:sz w:val="20"/>
          <w:szCs w:val="20"/>
          <w:highlight w:val="lightGray"/>
        </w:rPr>
        <w:t>zu unterzeichnen.</w:t>
      </w:r>
    </w:p>
    <w:p w14:paraId="68CD9DB1" w14:textId="77777777" w:rsidR="001469E9" w:rsidRDefault="001469E9" w:rsidP="001469E9">
      <w:pPr>
        <w:jc w:val="both"/>
      </w:pPr>
    </w:p>
    <w:p w14:paraId="332786AA" w14:textId="77777777" w:rsidR="001469E9" w:rsidRDefault="001469E9" w:rsidP="00C37D08">
      <w:pPr>
        <w:pStyle w:val="FINMAGliederungEbene1"/>
      </w:pPr>
      <w:bookmarkStart w:id="63" w:name="_Toc147141460"/>
      <w:r>
        <w:t>Anhang</w:t>
      </w:r>
      <w:bookmarkEnd w:id="63"/>
    </w:p>
    <w:p w14:paraId="0E65E8CD" w14:textId="77777777" w:rsidR="001469E9" w:rsidRDefault="001469E9" w:rsidP="001469E9">
      <w:pPr>
        <w:pStyle w:val="Listenabsatz"/>
        <w:ind w:left="360"/>
        <w:jc w:val="both"/>
      </w:pPr>
    </w:p>
    <w:p w14:paraId="76A0A70F" w14:textId="78D4EA10"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 xml:space="preserve">Folgende Unterlagen sind mit dem Bericht über die </w:t>
      </w:r>
      <w:r w:rsidR="00E129BE">
        <w:rPr>
          <w:rFonts w:ascii="Arial" w:hAnsi="Arial" w:cs="Arial"/>
          <w:i/>
          <w:sz w:val="20"/>
          <w:szCs w:val="20"/>
          <w:highlight w:val="lightGray"/>
        </w:rPr>
        <w:t>P</w:t>
      </w:r>
      <w:r>
        <w:rPr>
          <w:rFonts w:ascii="Arial" w:hAnsi="Arial" w:cs="Arial"/>
          <w:i/>
          <w:sz w:val="20"/>
          <w:szCs w:val="20"/>
          <w:highlight w:val="lightGray"/>
        </w:rPr>
        <w:t>rüfung einzureichen:</w:t>
      </w:r>
    </w:p>
    <w:p w14:paraId="0C35D932" w14:textId="77777777" w:rsidR="005316F9" w:rsidRDefault="005316F9" w:rsidP="000D36E0">
      <w:pPr>
        <w:jc w:val="both"/>
        <w:rPr>
          <w:rFonts w:ascii="Arial" w:hAnsi="Arial" w:cs="Arial"/>
          <w:i/>
          <w:sz w:val="20"/>
          <w:szCs w:val="20"/>
          <w:highlight w:val="lightGray"/>
        </w:rPr>
      </w:pPr>
    </w:p>
    <w:p w14:paraId="08DA18A0" w14:textId="4A18111E" w:rsidR="005316F9" w:rsidRPr="00CB3EE6" w:rsidRDefault="00FD023F" w:rsidP="00C37D08">
      <w:pPr>
        <w:pStyle w:val="Listenabsatz"/>
        <w:numPr>
          <w:ilvl w:val="0"/>
          <w:numId w:val="7"/>
        </w:numPr>
        <w:jc w:val="both"/>
        <w:rPr>
          <w:rFonts w:cs="Arial"/>
          <w:szCs w:val="20"/>
          <w:highlight w:val="lightGray"/>
        </w:rPr>
      </w:pPr>
      <w:r>
        <w:rPr>
          <w:rFonts w:cs="Arial"/>
          <w:szCs w:val="20"/>
          <w:highlight w:val="lightGray"/>
        </w:rPr>
        <w:t>F</w:t>
      </w:r>
      <w:r w:rsidRPr="00CB3EE6">
        <w:rPr>
          <w:rFonts w:cs="Arial"/>
          <w:szCs w:val="20"/>
          <w:highlight w:val="lightGray"/>
        </w:rPr>
        <w:t>alls Abweichungen zu an die FMA eingereichten Versionen bestehen</w:t>
      </w:r>
      <w:r>
        <w:rPr>
          <w:rFonts w:cs="Arial"/>
          <w:szCs w:val="20"/>
          <w:highlight w:val="lightGray"/>
        </w:rPr>
        <w:t>:</w:t>
      </w:r>
      <w:r w:rsidRPr="00CB3EE6">
        <w:rPr>
          <w:rFonts w:cs="Arial"/>
          <w:szCs w:val="20"/>
          <w:highlight w:val="lightGray"/>
        </w:rPr>
        <w:t xml:space="preserve"> </w:t>
      </w:r>
      <w:r w:rsidR="005316F9" w:rsidRPr="00CB3EE6">
        <w:rPr>
          <w:rFonts w:cs="Arial"/>
          <w:szCs w:val="20"/>
          <w:highlight w:val="lightGray"/>
        </w:rPr>
        <w:t xml:space="preserve">Formular Risikoanalyse/Prüfstrategie; </w:t>
      </w:r>
    </w:p>
    <w:p w14:paraId="5193A3EA" w14:textId="18559912" w:rsidR="00C750AE" w:rsidRPr="00E129BE" w:rsidRDefault="00FD023F" w:rsidP="00C37D08">
      <w:pPr>
        <w:pStyle w:val="Listenabsatz"/>
        <w:numPr>
          <w:ilvl w:val="0"/>
          <w:numId w:val="7"/>
        </w:numPr>
        <w:jc w:val="both"/>
        <w:rPr>
          <w:rFonts w:cs="Arial"/>
          <w:szCs w:val="20"/>
          <w:highlight w:val="lightGray"/>
        </w:rPr>
      </w:pPr>
      <w:r>
        <w:rPr>
          <w:rFonts w:cs="Arial"/>
          <w:szCs w:val="20"/>
          <w:highlight w:val="lightGray"/>
        </w:rPr>
        <w:t xml:space="preserve">Bei Abwicklungsgruppen: </w:t>
      </w:r>
      <w:r w:rsidR="00C750AE">
        <w:rPr>
          <w:rFonts w:cs="Arial"/>
          <w:szCs w:val="20"/>
          <w:highlight w:val="lightGray"/>
        </w:rPr>
        <w:t xml:space="preserve">Diagramm zur graphischen Abbildung des aufsichtsrechtlichen Konsolidierungskreises und der Abwicklungsgruppe, sofern </w:t>
      </w:r>
      <w:r w:rsidR="00FB180A">
        <w:rPr>
          <w:rFonts w:cs="Arial"/>
          <w:szCs w:val="20"/>
          <w:highlight w:val="lightGray"/>
        </w:rPr>
        <w:t xml:space="preserve">diese voneinander </w:t>
      </w:r>
      <w:r w:rsidR="00C750AE">
        <w:rPr>
          <w:rFonts w:cs="Arial"/>
          <w:szCs w:val="20"/>
          <w:highlight w:val="lightGray"/>
        </w:rPr>
        <w:t>abweichen</w:t>
      </w:r>
      <w:r>
        <w:rPr>
          <w:rFonts w:cs="Arial"/>
          <w:szCs w:val="20"/>
          <w:highlight w:val="lightGray"/>
        </w:rPr>
        <w:t>.</w:t>
      </w: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4959B8">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0D7B" w14:textId="77777777" w:rsidR="00574514" w:rsidRDefault="00574514">
      <w:r>
        <w:separator/>
      </w:r>
    </w:p>
  </w:endnote>
  <w:endnote w:type="continuationSeparator" w:id="0">
    <w:p w14:paraId="1F6286A9" w14:textId="77777777" w:rsidR="00574514" w:rsidRDefault="00574514">
      <w:r>
        <w:continuationSeparator/>
      </w:r>
    </w:p>
  </w:endnote>
  <w:endnote w:type="continuationNotice" w:id="1">
    <w:p w14:paraId="79FA6BDC" w14:textId="77777777" w:rsidR="00574514" w:rsidRDefault="0057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574514" w:rsidRDefault="005745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574514" w:rsidRDefault="005745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574514" w:rsidRPr="000864B2" w:rsidRDefault="00574514" w:rsidP="008D629D">
    <w:pPr>
      <w:spacing w:line="193" w:lineRule="atLeast"/>
      <w:rPr>
        <w:color w:val="666666"/>
        <w:sz w:val="16"/>
      </w:rPr>
    </w:pPr>
  </w:p>
  <w:p w14:paraId="6CEF623A" w14:textId="41A68B29" w:rsidR="00574514" w:rsidRDefault="00574514" w:rsidP="008D629D">
    <w:pPr>
      <w:pStyle w:val="Fusszeile"/>
    </w:pPr>
    <w:r>
      <w:tab/>
    </w:r>
    <w:r>
      <w:tab/>
    </w: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574514" w:rsidRPr="000864B2" w:rsidRDefault="00574514" w:rsidP="000E5A8C">
    <w:pPr>
      <w:spacing w:line="193" w:lineRule="atLeast"/>
      <w:rPr>
        <w:color w:val="666666"/>
        <w:sz w:val="16"/>
      </w:rPr>
    </w:pPr>
  </w:p>
  <w:p w14:paraId="31843EF8" w14:textId="410085A9" w:rsidR="00574514" w:rsidRDefault="00574514"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7D8D" w14:textId="77777777" w:rsidR="00574514" w:rsidRDefault="00574514">
      <w:r>
        <w:separator/>
      </w:r>
    </w:p>
  </w:footnote>
  <w:footnote w:type="continuationSeparator" w:id="0">
    <w:p w14:paraId="00DAAEAA" w14:textId="77777777" w:rsidR="00574514" w:rsidRDefault="00574514">
      <w:r>
        <w:continuationSeparator/>
      </w:r>
    </w:p>
  </w:footnote>
  <w:footnote w:type="continuationNotice" w:id="1">
    <w:p w14:paraId="13FB78C4" w14:textId="77777777" w:rsidR="00574514" w:rsidRDefault="0057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574514" w:rsidRDefault="0057451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574514" w:rsidRDefault="005745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574514" w:rsidRDefault="00574514"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574514" w:rsidRDefault="00574514">
    <w:pPr>
      <w:pStyle w:val="Kopfzeile"/>
    </w:pPr>
    <w:r>
      <w:rPr>
        <w:noProof/>
        <w:lang w:eastAsia="de-CH"/>
      </w:rPr>
      <w:drawing>
        <wp:anchor distT="0" distB="0" distL="114300" distR="114300" simplePos="0" relativeHeight="251658240"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574514" w:rsidRDefault="00574514" w:rsidP="00D82DD9">
    <w:pPr>
      <w:pStyle w:val="Kopfzeile"/>
    </w:pPr>
  </w:p>
  <w:p w14:paraId="1CAB9EC8" w14:textId="77777777" w:rsidR="00574514" w:rsidRDefault="00574514" w:rsidP="00D82DD9">
    <w:pPr>
      <w:pStyle w:val="Kopfzeile"/>
    </w:pPr>
  </w:p>
  <w:p w14:paraId="7EF72323" w14:textId="77777777" w:rsidR="00574514" w:rsidRDefault="00574514" w:rsidP="00D82DD9">
    <w:pPr>
      <w:pStyle w:val="Kopfzeile"/>
    </w:pPr>
  </w:p>
  <w:p w14:paraId="6A0BF6AA" w14:textId="77777777" w:rsidR="00574514" w:rsidRDefault="00574514" w:rsidP="00D82DD9">
    <w:pPr>
      <w:pStyle w:val="Kopfzeile"/>
    </w:pPr>
  </w:p>
  <w:p w14:paraId="6802C8D3" w14:textId="77777777" w:rsidR="00574514" w:rsidRDefault="00574514" w:rsidP="00D82DD9">
    <w:pPr>
      <w:pStyle w:val="Kopfzeile"/>
    </w:pPr>
  </w:p>
  <w:p w14:paraId="4DDF242A" w14:textId="77777777" w:rsidR="00574514" w:rsidRDefault="00574514" w:rsidP="00D82DD9">
    <w:pPr>
      <w:pStyle w:val="Kopfzeile"/>
    </w:pPr>
  </w:p>
  <w:p w14:paraId="047B2D1D" w14:textId="77777777" w:rsidR="00574514" w:rsidRDefault="00574514" w:rsidP="00D82DD9">
    <w:pPr>
      <w:pStyle w:val="Kopfzeile"/>
    </w:pPr>
  </w:p>
  <w:p w14:paraId="047E5A73" w14:textId="77777777" w:rsidR="00574514" w:rsidRDefault="00574514" w:rsidP="00D82DD9">
    <w:pPr>
      <w:pStyle w:val="Kopfzeile"/>
    </w:pPr>
  </w:p>
  <w:p w14:paraId="7E60A7FE" w14:textId="77777777" w:rsidR="00574514" w:rsidRDefault="00574514" w:rsidP="00D82DD9">
    <w:pPr>
      <w:pStyle w:val="Kopfzeile"/>
    </w:pPr>
  </w:p>
  <w:p w14:paraId="5D19C0A5" w14:textId="77777777" w:rsidR="00574514" w:rsidRDefault="00574514" w:rsidP="00D82DD9">
    <w:pPr>
      <w:pStyle w:val="Kopfzeile"/>
    </w:pPr>
  </w:p>
  <w:p w14:paraId="40006012" w14:textId="77777777" w:rsidR="00574514" w:rsidRDefault="00574514" w:rsidP="00D82DD9">
    <w:pPr>
      <w:pStyle w:val="Kopfzeile"/>
    </w:pPr>
  </w:p>
  <w:p w14:paraId="69725C1E" w14:textId="77777777" w:rsidR="00574514" w:rsidRDefault="00574514" w:rsidP="00D82DD9">
    <w:pPr>
      <w:pStyle w:val="Kopfzeile"/>
    </w:pPr>
  </w:p>
  <w:p w14:paraId="6344D2F9" w14:textId="77777777" w:rsidR="00574514" w:rsidRDefault="00574514" w:rsidP="00D82DD9">
    <w:pPr>
      <w:pStyle w:val="Kopfzeile"/>
    </w:pPr>
  </w:p>
  <w:p w14:paraId="625E7FC2" w14:textId="77777777" w:rsidR="00574514" w:rsidRDefault="00574514" w:rsidP="00D82DD9">
    <w:pPr>
      <w:pStyle w:val="Kopfzeile"/>
    </w:pPr>
  </w:p>
  <w:p w14:paraId="5E58257E" w14:textId="77777777" w:rsidR="00574514" w:rsidRDefault="00574514" w:rsidP="00D82DD9">
    <w:pPr>
      <w:pStyle w:val="Kopfzeile"/>
    </w:pPr>
    <w:r>
      <w:rPr>
        <w:noProof/>
        <w:lang w:eastAsia="de-CH"/>
      </w:rPr>
      <w:drawing>
        <wp:anchor distT="0" distB="0" distL="114300" distR="114300" simplePos="0" relativeHeight="251658241"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2" name="Picture 2"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574514" w:rsidRDefault="00574514"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574514" w:rsidRDefault="005745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 w15:restartNumberingAfterBreak="0">
    <w:nsid w:val="18E499ED"/>
    <w:multiLevelType w:val="hybridMultilevel"/>
    <w:tmpl w:val="FFFFFFFF"/>
    <w:lvl w:ilvl="0" w:tplc="7700BE6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5B6FB9A">
      <w:start w:val="1"/>
      <w:numFmt w:val="bullet"/>
      <w:lvlText w:val=""/>
      <w:lvlJc w:val="left"/>
      <w:pPr>
        <w:ind w:left="2160" w:hanging="360"/>
      </w:pPr>
      <w:rPr>
        <w:rFonts w:ascii="Wingdings" w:hAnsi="Wingdings" w:hint="default"/>
      </w:rPr>
    </w:lvl>
    <w:lvl w:ilvl="3" w:tplc="F77AAB36">
      <w:start w:val="1"/>
      <w:numFmt w:val="bullet"/>
      <w:lvlText w:val=""/>
      <w:lvlJc w:val="left"/>
      <w:pPr>
        <w:ind w:left="2880" w:hanging="360"/>
      </w:pPr>
      <w:rPr>
        <w:rFonts w:ascii="Symbol" w:hAnsi="Symbol" w:hint="default"/>
      </w:rPr>
    </w:lvl>
    <w:lvl w:ilvl="4" w:tplc="A7E0CB82">
      <w:start w:val="1"/>
      <w:numFmt w:val="bullet"/>
      <w:lvlText w:val="o"/>
      <w:lvlJc w:val="left"/>
      <w:pPr>
        <w:ind w:left="3600" w:hanging="360"/>
      </w:pPr>
      <w:rPr>
        <w:rFonts w:ascii="Courier New" w:hAnsi="Courier New" w:hint="default"/>
      </w:rPr>
    </w:lvl>
    <w:lvl w:ilvl="5" w:tplc="B3565CC8">
      <w:start w:val="1"/>
      <w:numFmt w:val="bullet"/>
      <w:lvlText w:val=""/>
      <w:lvlJc w:val="left"/>
      <w:pPr>
        <w:ind w:left="4320" w:hanging="360"/>
      </w:pPr>
      <w:rPr>
        <w:rFonts w:ascii="Wingdings" w:hAnsi="Wingdings" w:hint="default"/>
      </w:rPr>
    </w:lvl>
    <w:lvl w:ilvl="6" w:tplc="CBF6256A">
      <w:start w:val="1"/>
      <w:numFmt w:val="bullet"/>
      <w:lvlText w:val=""/>
      <w:lvlJc w:val="left"/>
      <w:pPr>
        <w:ind w:left="5040" w:hanging="360"/>
      </w:pPr>
      <w:rPr>
        <w:rFonts w:ascii="Symbol" w:hAnsi="Symbol" w:hint="default"/>
      </w:rPr>
    </w:lvl>
    <w:lvl w:ilvl="7" w:tplc="AA786EEC">
      <w:start w:val="1"/>
      <w:numFmt w:val="bullet"/>
      <w:lvlText w:val="o"/>
      <w:lvlJc w:val="left"/>
      <w:pPr>
        <w:ind w:left="5760" w:hanging="360"/>
      </w:pPr>
      <w:rPr>
        <w:rFonts w:ascii="Courier New" w:hAnsi="Courier New" w:hint="default"/>
      </w:rPr>
    </w:lvl>
    <w:lvl w:ilvl="8" w:tplc="DABA97C2">
      <w:start w:val="1"/>
      <w:numFmt w:val="bullet"/>
      <w:lvlText w:val=""/>
      <w:lvlJc w:val="left"/>
      <w:pPr>
        <w:ind w:left="6480" w:hanging="360"/>
      </w:pPr>
      <w:rPr>
        <w:rFonts w:ascii="Wingdings" w:hAnsi="Wingdings" w:hint="default"/>
      </w:rPr>
    </w:lvl>
  </w:abstractNum>
  <w:abstractNum w:abstractNumId="3"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2958AE81"/>
    <w:multiLevelType w:val="hybridMultilevel"/>
    <w:tmpl w:val="FFFFFFFF"/>
    <w:lvl w:ilvl="0" w:tplc="36B89994">
      <w:start w:val="1"/>
      <w:numFmt w:val="bullet"/>
      <w:lvlText w:val="o"/>
      <w:lvlJc w:val="left"/>
      <w:pPr>
        <w:ind w:left="720" w:hanging="360"/>
      </w:pPr>
      <w:rPr>
        <w:rFonts w:ascii="Courier New" w:hAnsi="Courier New" w:hint="default"/>
      </w:rPr>
    </w:lvl>
    <w:lvl w:ilvl="1" w:tplc="60CA8976">
      <w:start w:val="1"/>
      <w:numFmt w:val="bullet"/>
      <w:lvlText w:val="o"/>
      <w:lvlJc w:val="left"/>
      <w:pPr>
        <w:ind w:left="1440" w:hanging="360"/>
      </w:pPr>
      <w:rPr>
        <w:rFonts w:ascii="Courier New" w:hAnsi="Courier New" w:hint="default"/>
      </w:rPr>
    </w:lvl>
    <w:lvl w:ilvl="2" w:tplc="1E1A3C76">
      <w:start w:val="1"/>
      <w:numFmt w:val="bullet"/>
      <w:lvlText w:val=""/>
      <w:lvlJc w:val="left"/>
      <w:pPr>
        <w:ind w:left="2160" w:hanging="360"/>
      </w:pPr>
      <w:rPr>
        <w:rFonts w:ascii="Wingdings" w:hAnsi="Wingdings" w:hint="default"/>
      </w:rPr>
    </w:lvl>
    <w:lvl w:ilvl="3" w:tplc="C38A2B92">
      <w:start w:val="1"/>
      <w:numFmt w:val="bullet"/>
      <w:lvlText w:val=""/>
      <w:lvlJc w:val="left"/>
      <w:pPr>
        <w:ind w:left="2880" w:hanging="360"/>
      </w:pPr>
      <w:rPr>
        <w:rFonts w:ascii="Symbol" w:hAnsi="Symbol" w:hint="default"/>
      </w:rPr>
    </w:lvl>
    <w:lvl w:ilvl="4" w:tplc="0462814A">
      <w:start w:val="1"/>
      <w:numFmt w:val="bullet"/>
      <w:lvlText w:val="o"/>
      <w:lvlJc w:val="left"/>
      <w:pPr>
        <w:ind w:left="3600" w:hanging="360"/>
      </w:pPr>
      <w:rPr>
        <w:rFonts w:ascii="Courier New" w:hAnsi="Courier New" w:hint="default"/>
      </w:rPr>
    </w:lvl>
    <w:lvl w:ilvl="5" w:tplc="8A323C50">
      <w:start w:val="1"/>
      <w:numFmt w:val="bullet"/>
      <w:lvlText w:val=""/>
      <w:lvlJc w:val="left"/>
      <w:pPr>
        <w:ind w:left="4320" w:hanging="360"/>
      </w:pPr>
      <w:rPr>
        <w:rFonts w:ascii="Wingdings" w:hAnsi="Wingdings" w:hint="default"/>
      </w:rPr>
    </w:lvl>
    <w:lvl w:ilvl="6" w:tplc="4430670C">
      <w:start w:val="1"/>
      <w:numFmt w:val="bullet"/>
      <w:lvlText w:val=""/>
      <w:lvlJc w:val="left"/>
      <w:pPr>
        <w:ind w:left="5040" w:hanging="360"/>
      </w:pPr>
      <w:rPr>
        <w:rFonts w:ascii="Symbol" w:hAnsi="Symbol" w:hint="default"/>
      </w:rPr>
    </w:lvl>
    <w:lvl w:ilvl="7" w:tplc="A6A80DB0">
      <w:start w:val="1"/>
      <w:numFmt w:val="bullet"/>
      <w:lvlText w:val="o"/>
      <w:lvlJc w:val="left"/>
      <w:pPr>
        <w:ind w:left="5760" w:hanging="360"/>
      </w:pPr>
      <w:rPr>
        <w:rFonts w:ascii="Courier New" w:hAnsi="Courier New" w:hint="default"/>
      </w:rPr>
    </w:lvl>
    <w:lvl w:ilvl="8" w:tplc="63AE72B6">
      <w:start w:val="1"/>
      <w:numFmt w:val="bullet"/>
      <w:lvlText w:val=""/>
      <w:lvlJc w:val="left"/>
      <w:pPr>
        <w:ind w:left="6480" w:hanging="360"/>
      </w:pPr>
      <w:rPr>
        <w:rFonts w:ascii="Wingdings" w:hAnsi="Wingdings" w:hint="default"/>
      </w:rPr>
    </w:lvl>
  </w:abstractNum>
  <w:abstractNum w:abstractNumId="7" w15:restartNumberingAfterBreak="0">
    <w:nsid w:val="295A2EE1"/>
    <w:multiLevelType w:val="hybridMultilevel"/>
    <w:tmpl w:val="59D48FC4"/>
    <w:lvl w:ilvl="0" w:tplc="B68CB97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4F4FB06">
      <w:start w:val="1"/>
      <w:numFmt w:val="bullet"/>
      <w:lvlText w:val=""/>
      <w:lvlJc w:val="left"/>
      <w:pPr>
        <w:ind w:left="2160" w:hanging="360"/>
      </w:pPr>
      <w:rPr>
        <w:rFonts w:ascii="Wingdings" w:hAnsi="Wingdings" w:hint="default"/>
      </w:rPr>
    </w:lvl>
    <w:lvl w:ilvl="3" w:tplc="D2660920">
      <w:start w:val="1"/>
      <w:numFmt w:val="bullet"/>
      <w:lvlText w:val=""/>
      <w:lvlJc w:val="left"/>
      <w:pPr>
        <w:ind w:left="2880" w:hanging="360"/>
      </w:pPr>
      <w:rPr>
        <w:rFonts w:ascii="Symbol" w:hAnsi="Symbol" w:hint="default"/>
      </w:rPr>
    </w:lvl>
    <w:lvl w:ilvl="4" w:tplc="6A00FAD0">
      <w:start w:val="1"/>
      <w:numFmt w:val="bullet"/>
      <w:lvlText w:val="o"/>
      <w:lvlJc w:val="left"/>
      <w:pPr>
        <w:ind w:left="3600" w:hanging="360"/>
      </w:pPr>
      <w:rPr>
        <w:rFonts w:ascii="Courier New" w:hAnsi="Courier New" w:hint="default"/>
      </w:rPr>
    </w:lvl>
    <w:lvl w:ilvl="5" w:tplc="9CA03A68">
      <w:start w:val="1"/>
      <w:numFmt w:val="bullet"/>
      <w:lvlText w:val=""/>
      <w:lvlJc w:val="left"/>
      <w:pPr>
        <w:ind w:left="4320" w:hanging="360"/>
      </w:pPr>
      <w:rPr>
        <w:rFonts w:ascii="Wingdings" w:hAnsi="Wingdings" w:hint="default"/>
      </w:rPr>
    </w:lvl>
    <w:lvl w:ilvl="6" w:tplc="0D9C82D6">
      <w:start w:val="1"/>
      <w:numFmt w:val="bullet"/>
      <w:lvlText w:val=""/>
      <w:lvlJc w:val="left"/>
      <w:pPr>
        <w:ind w:left="5040" w:hanging="360"/>
      </w:pPr>
      <w:rPr>
        <w:rFonts w:ascii="Symbol" w:hAnsi="Symbol" w:hint="default"/>
      </w:rPr>
    </w:lvl>
    <w:lvl w:ilvl="7" w:tplc="CD4ED71A">
      <w:start w:val="1"/>
      <w:numFmt w:val="bullet"/>
      <w:lvlText w:val="o"/>
      <w:lvlJc w:val="left"/>
      <w:pPr>
        <w:ind w:left="5760" w:hanging="360"/>
      </w:pPr>
      <w:rPr>
        <w:rFonts w:ascii="Courier New" w:hAnsi="Courier New" w:hint="default"/>
      </w:rPr>
    </w:lvl>
    <w:lvl w:ilvl="8" w:tplc="7C22CBC4">
      <w:start w:val="1"/>
      <w:numFmt w:val="bullet"/>
      <w:lvlText w:val=""/>
      <w:lvlJc w:val="left"/>
      <w:pPr>
        <w:ind w:left="6480" w:hanging="360"/>
      </w:pPr>
      <w:rPr>
        <w:rFonts w:ascii="Wingdings" w:hAnsi="Wingdings" w:hint="default"/>
      </w:rPr>
    </w:lvl>
  </w:abstractNum>
  <w:abstractNum w:abstractNumId="8" w15:restartNumberingAfterBreak="0">
    <w:nsid w:val="42FA37D6"/>
    <w:multiLevelType w:val="hybridMultilevel"/>
    <w:tmpl w:val="2ABCE0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FA7B5"/>
    <w:multiLevelType w:val="hybridMultilevel"/>
    <w:tmpl w:val="FFFFFFFF"/>
    <w:lvl w:ilvl="0" w:tplc="5DD0711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A2AE196">
      <w:start w:val="1"/>
      <w:numFmt w:val="bullet"/>
      <w:lvlText w:val=""/>
      <w:lvlJc w:val="left"/>
      <w:pPr>
        <w:ind w:left="2160" w:hanging="360"/>
      </w:pPr>
      <w:rPr>
        <w:rFonts w:ascii="Wingdings" w:hAnsi="Wingdings" w:hint="default"/>
      </w:rPr>
    </w:lvl>
    <w:lvl w:ilvl="3" w:tplc="D4C635E2">
      <w:start w:val="1"/>
      <w:numFmt w:val="bullet"/>
      <w:lvlText w:val=""/>
      <w:lvlJc w:val="left"/>
      <w:pPr>
        <w:ind w:left="2880" w:hanging="360"/>
      </w:pPr>
      <w:rPr>
        <w:rFonts w:ascii="Symbol" w:hAnsi="Symbol" w:hint="default"/>
      </w:rPr>
    </w:lvl>
    <w:lvl w:ilvl="4" w:tplc="6FCC5DAE">
      <w:start w:val="1"/>
      <w:numFmt w:val="bullet"/>
      <w:lvlText w:val="o"/>
      <w:lvlJc w:val="left"/>
      <w:pPr>
        <w:ind w:left="3600" w:hanging="360"/>
      </w:pPr>
      <w:rPr>
        <w:rFonts w:ascii="Courier New" w:hAnsi="Courier New" w:hint="default"/>
      </w:rPr>
    </w:lvl>
    <w:lvl w:ilvl="5" w:tplc="485C57C4">
      <w:start w:val="1"/>
      <w:numFmt w:val="bullet"/>
      <w:lvlText w:val=""/>
      <w:lvlJc w:val="left"/>
      <w:pPr>
        <w:ind w:left="4320" w:hanging="360"/>
      </w:pPr>
      <w:rPr>
        <w:rFonts w:ascii="Wingdings" w:hAnsi="Wingdings" w:hint="default"/>
      </w:rPr>
    </w:lvl>
    <w:lvl w:ilvl="6" w:tplc="674EA62A">
      <w:start w:val="1"/>
      <w:numFmt w:val="bullet"/>
      <w:lvlText w:val=""/>
      <w:lvlJc w:val="left"/>
      <w:pPr>
        <w:ind w:left="5040" w:hanging="360"/>
      </w:pPr>
      <w:rPr>
        <w:rFonts w:ascii="Symbol" w:hAnsi="Symbol" w:hint="default"/>
      </w:rPr>
    </w:lvl>
    <w:lvl w:ilvl="7" w:tplc="21D09F02">
      <w:start w:val="1"/>
      <w:numFmt w:val="bullet"/>
      <w:lvlText w:val="o"/>
      <w:lvlJc w:val="left"/>
      <w:pPr>
        <w:ind w:left="5760" w:hanging="360"/>
      </w:pPr>
      <w:rPr>
        <w:rFonts w:ascii="Courier New" w:hAnsi="Courier New" w:hint="default"/>
      </w:rPr>
    </w:lvl>
    <w:lvl w:ilvl="8" w:tplc="9CF4EDE6">
      <w:start w:val="1"/>
      <w:numFmt w:val="bullet"/>
      <w:lvlText w:val=""/>
      <w:lvlJc w:val="left"/>
      <w:pPr>
        <w:ind w:left="6480" w:hanging="360"/>
      </w:pPr>
      <w:rPr>
        <w:rFonts w:ascii="Wingdings" w:hAnsi="Wingdings" w:hint="default"/>
      </w:rPr>
    </w:lvl>
  </w:abstractNum>
  <w:abstractNum w:abstractNumId="10"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FA976CF"/>
    <w:multiLevelType w:val="hybridMultilevel"/>
    <w:tmpl w:val="50BEE4C0"/>
    <w:lvl w:ilvl="0" w:tplc="47F4D638">
      <w:start w:val="1"/>
      <w:numFmt w:val="bullet"/>
      <w:lvlText w:val="o"/>
      <w:lvlJc w:val="left"/>
      <w:pPr>
        <w:ind w:left="720" w:hanging="360"/>
      </w:pPr>
      <w:rPr>
        <w:rFonts w:ascii="Courier New" w:hAnsi="Courier New" w:hint="default"/>
      </w:rPr>
    </w:lvl>
    <w:lvl w:ilvl="1" w:tplc="996651BC">
      <w:start w:val="1"/>
      <w:numFmt w:val="bullet"/>
      <w:lvlText w:val="o"/>
      <w:lvlJc w:val="left"/>
      <w:pPr>
        <w:ind w:left="1440" w:hanging="360"/>
      </w:pPr>
      <w:rPr>
        <w:rFonts w:ascii="Courier New" w:hAnsi="Courier New" w:hint="default"/>
      </w:rPr>
    </w:lvl>
    <w:lvl w:ilvl="2" w:tplc="169A589E">
      <w:start w:val="1"/>
      <w:numFmt w:val="bullet"/>
      <w:lvlText w:val=""/>
      <w:lvlJc w:val="left"/>
      <w:pPr>
        <w:ind w:left="2160" w:hanging="360"/>
      </w:pPr>
      <w:rPr>
        <w:rFonts w:ascii="Wingdings" w:hAnsi="Wingdings" w:hint="default"/>
      </w:rPr>
    </w:lvl>
    <w:lvl w:ilvl="3" w:tplc="0CE2B676">
      <w:start w:val="1"/>
      <w:numFmt w:val="bullet"/>
      <w:lvlText w:val=""/>
      <w:lvlJc w:val="left"/>
      <w:pPr>
        <w:ind w:left="2880" w:hanging="360"/>
      </w:pPr>
      <w:rPr>
        <w:rFonts w:ascii="Symbol" w:hAnsi="Symbol" w:hint="default"/>
      </w:rPr>
    </w:lvl>
    <w:lvl w:ilvl="4" w:tplc="47505A2E">
      <w:start w:val="1"/>
      <w:numFmt w:val="bullet"/>
      <w:lvlText w:val="o"/>
      <w:lvlJc w:val="left"/>
      <w:pPr>
        <w:ind w:left="3600" w:hanging="360"/>
      </w:pPr>
      <w:rPr>
        <w:rFonts w:ascii="Courier New" w:hAnsi="Courier New" w:hint="default"/>
      </w:rPr>
    </w:lvl>
    <w:lvl w:ilvl="5" w:tplc="25DE18C2">
      <w:start w:val="1"/>
      <w:numFmt w:val="bullet"/>
      <w:lvlText w:val=""/>
      <w:lvlJc w:val="left"/>
      <w:pPr>
        <w:ind w:left="4320" w:hanging="360"/>
      </w:pPr>
      <w:rPr>
        <w:rFonts w:ascii="Wingdings" w:hAnsi="Wingdings" w:hint="default"/>
      </w:rPr>
    </w:lvl>
    <w:lvl w:ilvl="6" w:tplc="1BCA9A64">
      <w:start w:val="1"/>
      <w:numFmt w:val="bullet"/>
      <w:lvlText w:val=""/>
      <w:lvlJc w:val="left"/>
      <w:pPr>
        <w:ind w:left="5040" w:hanging="360"/>
      </w:pPr>
      <w:rPr>
        <w:rFonts w:ascii="Symbol" w:hAnsi="Symbol" w:hint="default"/>
      </w:rPr>
    </w:lvl>
    <w:lvl w:ilvl="7" w:tplc="880CC20C">
      <w:start w:val="1"/>
      <w:numFmt w:val="bullet"/>
      <w:lvlText w:val="o"/>
      <w:lvlJc w:val="left"/>
      <w:pPr>
        <w:ind w:left="5760" w:hanging="360"/>
      </w:pPr>
      <w:rPr>
        <w:rFonts w:ascii="Courier New" w:hAnsi="Courier New" w:hint="default"/>
      </w:rPr>
    </w:lvl>
    <w:lvl w:ilvl="8" w:tplc="E41EE106">
      <w:start w:val="1"/>
      <w:numFmt w:val="bullet"/>
      <w:lvlText w:val=""/>
      <w:lvlJc w:val="left"/>
      <w:pPr>
        <w:ind w:left="6480" w:hanging="360"/>
      </w:pPr>
      <w:rPr>
        <w:rFonts w:ascii="Wingdings" w:hAnsi="Wingdings" w:hint="default"/>
      </w:rPr>
    </w:lvl>
  </w:abstractNum>
  <w:abstractNum w:abstractNumId="12"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13" w15:restartNumberingAfterBreak="0">
    <w:nsid w:val="7A3400AB"/>
    <w:multiLevelType w:val="hybridMultilevel"/>
    <w:tmpl w:val="7B46B3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3"/>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2"/>
  </w:num>
  <w:num w:numId="13">
    <w:abstractNumId w:val="6"/>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9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7DD"/>
    <w:rsid w:val="00002A92"/>
    <w:rsid w:val="00002F69"/>
    <w:rsid w:val="000034B2"/>
    <w:rsid w:val="00004C8E"/>
    <w:rsid w:val="00005227"/>
    <w:rsid w:val="00005F67"/>
    <w:rsid w:val="000060F7"/>
    <w:rsid w:val="00006719"/>
    <w:rsid w:val="00006962"/>
    <w:rsid w:val="00006C1F"/>
    <w:rsid w:val="00006EC6"/>
    <w:rsid w:val="00006FB6"/>
    <w:rsid w:val="00007653"/>
    <w:rsid w:val="00007939"/>
    <w:rsid w:val="0001019D"/>
    <w:rsid w:val="00012701"/>
    <w:rsid w:val="0001325A"/>
    <w:rsid w:val="00014410"/>
    <w:rsid w:val="00014AAF"/>
    <w:rsid w:val="0001529C"/>
    <w:rsid w:val="00015ACD"/>
    <w:rsid w:val="00017946"/>
    <w:rsid w:val="00020CD7"/>
    <w:rsid w:val="00021309"/>
    <w:rsid w:val="00021352"/>
    <w:rsid w:val="00021E72"/>
    <w:rsid w:val="00021F23"/>
    <w:rsid w:val="000227C5"/>
    <w:rsid w:val="00022BDB"/>
    <w:rsid w:val="00023B60"/>
    <w:rsid w:val="00026788"/>
    <w:rsid w:val="00026A7F"/>
    <w:rsid w:val="00027556"/>
    <w:rsid w:val="0003063F"/>
    <w:rsid w:val="00031764"/>
    <w:rsid w:val="0003209A"/>
    <w:rsid w:val="0003219D"/>
    <w:rsid w:val="00034DFC"/>
    <w:rsid w:val="00034EF7"/>
    <w:rsid w:val="00035C3A"/>
    <w:rsid w:val="000362E2"/>
    <w:rsid w:val="00040BA1"/>
    <w:rsid w:val="000410F3"/>
    <w:rsid w:val="00041637"/>
    <w:rsid w:val="00041E65"/>
    <w:rsid w:val="00043625"/>
    <w:rsid w:val="00043E48"/>
    <w:rsid w:val="0004542C"/>
    <w:rsid w:val="00045FAD"/>
    <w:rsid w:val="0004632D"/>
    <w:rsid w:val="000464E3"/>
    <w:rsid w:val="00047F52"/>
    <w:rsid w:val="000505B5"/>
    <w:rsid w:val="00051A98"/>
    <w:rsid w:val="00051D0D"/>
    <w:rsid w:val="00052188"/>
    <w:rsid w:val="00052962"/>
    <w:rsid w:val="00053F95"/>
    <w:rsid w:val="0005430B"/>
    <w:rsid w:val="00055244"/>
    <w:rsid w:val="00055F4C"/>
    <w:rsid w:val="00056777"/>
    <w:rsid w:val="00056882"/>
    <w:rsid w:val="000574C7"/>
    <w:rsid w:val="00057D6D"/>
    <w:rsid w:val="000603E4"/>
    <w:rsid w:val="0006170F"/>
    <w:rsid w:val="000619DD"/>
    <w:rsid w:val="000644DD"/>
    <w:rsid w:val="00064E7F"/>
    <w:rsid w:val="00065079"/>
    <w:rsid w:val="00065768"/>
    <w:rsid w:val="0006584C"/>
    <w:rsid w:val="00065C8C"/>
    <w:rsid w:val="00067327"/>
    <w:rsid w:val="00067398"/>
    <w:rsid w:val="00067515"/>
    <w:rsid w:val="000676F5"/>
    <w:rsid w:val="0006790D"/>
    <w:rsid w:val="00070312"/>
    <w:rsid w:val="00071D90"/>
    <w:rsid w:val="00072BE1"/>
    <w:rsid w:val="00073D5A"/>
    <w:rsid w:val="00076665"/>
    <w:rsid w:val="0007705F"/>
    <w:rsid w:val="000771D9"/>
    <w:rsid w:val="00082FD4"/>
    <w:rsid w:val="00083427"/>
    <w:rsid w:val="00083ADF"/>
    <w:rsid w:val="00083BA0"/>
    <w:rsid w:val="000901C6"/>
    <w:rsid w:val="000901CB"/>
    <w:rsid w:val="000901D2"/>
    <w:rsid w:val="000905F7"/>
    <w:rsid w:val="00091363"/>
    <w:rsid w:val="0009267D"/>
    <w:rsid w:val="00093B3E"/>
    <w:rsid w:val="00093EEC"/>
    <w:rsid w:val="00094143"/>
    <w:rsid w:val="00094B7B"/>
    <w:rsid w:val="000950CF"/>
    <w:rsid w:val="00096979"/>
    <w:rsid w:val="0009766E"/>
    <w:rsid w:val="00097DF8"/>
    <w:rsid w:val="000A085A"/>
    <w:rsid w:val="000A09BB"/>
    <w:rsid w:val="000A13CA"/>
    <w:rsid w:val="000A17AC"/>
    <w:rsid w:val="000A19CE"/>
    <w:rsid w:val="000A1CA7"/>
    <w:rsid w:val="000A28AE"/>
    <w:rsid w:val="000A32F6"/>
    <w:rsid w:val="000A3E6C"/>
    <w:rsid w:val="000A43E3"/>
    <w:rsid w:val="000A6E6B"/>
    <w:rsid w:val="000A7100"/>
    <w:rsid w:val="000A72EA"/>
    <w:rsid w:val="000A7C21"/>
    <w:rsid w:val="000B0E41"/>
    <w:rsid w:val="000B17A8"/>
    <w:rsid w:val="000B18D3"/>
    <w:rsid w:val="000B1E8D"/>
    <w:rsid w:val="000B1ED2"/>
    <w:rsid w:val="000B20E4"/>
    <w:rsid w:val="000B285D"/>
    <w:rsid w:val="000B2909"/>
    <w:rsid w:val="000B2948"/>
    <w:rsid w:val="000B335E"/>
    <w:rsid w:val="000B3FB6"/>
    <w:rsid w:val="000B44E4"/>
    <w:rsid w:val="000B487C"/>
    <w:rsid w:val="000B48AB"/>
    <w:rsid w:val="000B555F"/>
    <w:rsid w:val="000B56AB"/>
    <w:rsid w:val="000B7DF6"/>
    <w:rsid w:val="000C0745"/>
    <w:rsid w:val="000C092F"/>
    <w:rsid w:val="000C15E7"/>
    <w:rsid w:val="000C210F"/>
    <w:rsid w:val="000C23AB"/>
    <w:rsid w:val="000C243B"/>
    <w:rsid w:val="000C27E2"/>
    <w:rsid w:val="000C3479"/>
    <w:rsid w:val="000C39CF"/>
    <w:rsid w:val="000C3D46"/>
    <w:rsid w:val="000C3F1F"/>
    <w:rsid w:val="000C462F"/>
    <w:rsid w:val="000C6492"/>
    <w:rsid w:val="000C68AF"/>
    <w:rsid w:val="000C6993"/>
    <w:rsid w:val="000C756C"/>
    <w:rsid w:val="000C78B0"/>
    <w:rsid w:val="000C7942"/>
    <w:rsid w:val="000D1134"/>
    <w:rsid w:val="000D19EE"/>
    <w:rsid w:val="000D1A32"/>
    <w:rsid w:val="000D22E2"/>
    <w:rsid w:val="000D2317"/>
    <w:rsid w:val="000D36E0"/>
    <w:rsid w:val="000D38FC"/>
    <w:rsid w:val="000D4909"/>
    <w:rsid w:val="000D5A91"/>
    <w:rsid w:val="000D5E1E"/>
    <w:rsid w:val="000D7C76"/>
    <w:rsid w:val="000E0B73"/>
    <w:rsid w:val="000E0C2B"/>
    <w:rsid w:val="000E105F"/>
    <w:rsid w:val="000E2B6D"/>
    <w:rsid w:val="000E2F5F"/>
    <w:rsid w:val="000E377B"/>
    <w:rsid w:val="000E3E36"/>
    <w:rsid w:val="000E540C"/>
    <w:rsid w:val="000E5A8C"/>
    <w:rsid w:val="000E6048"/>
    <w:rsid w:val="000E7A1B"/>
    <w:rsid w:val="000E7A42"/>
    <w:rsid w:val="000E7AF9"/>
    <w:rsid w:val="000E7EEA"/>
    <w:rsid w:val="000F03AE"/>
    <w:rsid w:val="000F0B69"/>
    <w:rsid w:val="000F1743"/>
    <w:rsid w:val="000F185C"/>
    <w:rsid w:val="000F209C"/>
    <w:rsid w:val="000F46B9"/>
    <w:rsid w:val="000F51FE"/>
    <w:rsid w:val="000F657D"/>
    <w:rsid w:val="000F65C0"/>
    <w:rsid w:val="001011FA"/>
    <w:rsid w:val="00101857"/>
    <w:rsid w:val="00101A65"/>
    <w:rsid w:val="001024C6"/>
    <w:rsid w:val="00102AFF"/>
    <w:rsid w:val="00103265"/>
    <w:rsid w:val="00105562"/>
    <w:rsid w:val="00105E29"/>
    <w:rsid w:val="00105F6F"/>
    <w:rsid w:val="001077FE"/>
    <w:rsid w:val="00107B53"/>
    <w:rsid w:val="00110311"/>
    <w:rsid w:val="001116BC"/>
    <w:rsid w:val="00111B9B"/>
    <w:rsid w:val="00111BEE"/>
    <w:rsid w:val="001125BB"/>
    <w:rsid w:val="0011287B"/>
    <w:rsid w:val="00112B9D"/>
    <w:rsid w:val="0011301F"/>
    <w:rsid w:val="0011341F"/>
    <w:rsid w:val="001137FB"/>
    <w:rsid w:val="001137FD"/>
    <w:rsid w:val="00113C70"/>
    <w:rsid w:val="00113D3D"/>
    <w:rsid w:val="00113DAF"/>
    <w:rsid w:val="00115361"/>
    <w:rsid w:val="001156E0"/>
    <w:rsid w:val="00115883"/>
    <w:rsid w:val="00115C45"/>
    <w:rsid w:val="001178DE"/>
    <w:rsid w:val="00117BE5"/>
    <w:rsid w:val="00121C6C"/>
    <w:rsid w:val="001230D3"/>
    <w:rsid w:val="00123E2F"/>
    <w:rsid w:val="001241BE"/>
    <w:rsid w:val="00124D1B"/>
    <w:rsid w:val="00124FF6"/>
    <w:rsid w:val="00125398"/>
    <w:rsid w:val="0012542F"/>
    <w:rsid w:val="001264C9"/>
    <w:rsid w:val="001264D7"/>
    <w:rsid w:val="00127271"/>
    <w:rsid w:val="001274E1"/>
    <w:rsid w:val="00127590"/>
    <w:rsid w:val="00127686"/>
    <w:rsid w:val="0012779B"/>
    <w:rsid w:val="00127D85"/>
    <w:rsid w:val="0013025F"/>
    <w:rsid w:val="00130304"/>
    <w:rsid w:val="00130556"/>
    <w:rsid w:val="0013121F"/>
    <w:rsid w:val="00132E04"/>
    <w:rsid w:val="00136119"/>
    <w:rsid w:val="001403C1"/>
    <w:rsid w:val="00140F82"/>
    <w:rsid w:val="00141968"/>
    <w:rsid w:val="00141F6A"/>
    <w:rsid w:val="00142DBB"/>
    <w:rsid w:val="0014348A"/>
    <w:rsid w:val="001438AA"/>
    <w:rsid w:val="00143E86"/>
    <w:rsid w:val="00145015"/>
    <w:rsid w:val="00145D00"/>
    <w:rsid w:val="0014645E"/>
    <w:rsid w:val="001469E9"/>
    <w:rsid w:val="00146F26"/>
    <w:rsid w:val="00147F59"/>
    <w:rsid w:val="00150A9A"/>
    <w:rsid w:val="00150E39"/>
    <w:rsid w:val="001519C7"/>
    <w:rsid w:val="001519C8"/>
    <w:rsid w:val="001521B2"/>
    <w:rsid w:val="0015284E"/>
    <w:rsid w:val="00152F81"/>
    <w:rsid w:val="00156599"/>
    <w:rsid w:val="00156ED2"/>
    <w:rsid w:val="00160D2E"/>
    <w:rsid w:val="00160D7E"/>
    <w:rsid w:val="00161398"/>
    <w:rsid w:val="00163742"/>
    <w:rsid w:val="00163C90"/>
    <w:rsid w:val="00165F0D"/>
    <w:rsid w:val="001666F2"/>
    <w:rsid w:val="0016752B"/>
    <w:rsid w:val="00167878"/>
    <w:rsid w:val="00170A46"/>
    <w:rsid w:val="00170E29"/>
    <w:rsid w:val="001719F0"/>
    <w:rsid w:val="00172539"/>
    <w:rsid w:val="001733DD"/>
    <w:rsid w:val="00173DBD"/>
    <w:rsid w:val="001746D6"/>
    <w:rsid w:val="00174C08"/>
    <w:rsid w:val="00176BCC"/>
    <w:rsid w:val="001771FE"/>
    <w:rsid w:val="00177738"/>
    <w:rsid w:val="00177B3A"/>
    <w:rsid w:val="00180BC9"/>
    <w:rsid w:val="001812B4"/>
    <w:rsid w:val="0018175F"/>
    <w:rsid w:val="00181B82"/>
    <w:rsid w:val="0018298D"/>
    <w:rsid w:val="00182DF8"/>
    <w:rsid w:val="00182EFE"/>
    <w:rsid w:val="00183174"/>
    <w:rsid w:val="0018331C"/>
    <w:rsid w:val="001842F3"/>
    <w:rsid w:val="00184A77"/>
    <w:rsid w:val="00184DEB"/>
    <w:rsid w:val="00185132"/>
    <w:rsid w:val="0018540E"/>
    <w:rsid w:val="00186609"/>
    <w:rsid w:val="0018744F"/>
    <w:rsid w:val="00191016"/>
    <w:rsid w:val="001916DA"/>
    <w:rsid w:val="00191F30"/>
    <w:rsid w:val="0019279F"/>
    <w:rsid w:val="00193A84"/>
    <w:rsid w:val="00193B16"/>
    <w:rsid w:val="00194367"/>
    <w:rsid w:val="0019446C"/>
    <w:rsid w:val="00194553"/>
    <w:rsid w:val="001951D9"/>
    <w:rsid w:val="00195BA3"/>
    <w:rsid w:val="001970EA"/>
    <w:rsid w:val="00197F7F"/>
    <w:rsid w:val="001A1A8F"/>
    <w:rsid w:val="001A24FD"/>
    <w:rsid w:val="001A2ED4"/>
    <w:rsid w:val="001A38BC"/>
    <w:rsid w:val="001A42C4"/>
    <w:rsid w:val="001A4372"/>
    <w:rsid w:val="001A4932"/>
    <w:rsid w:val="001A4D32"/>
    <w:rsid w:val="001A4F6D"/>
    <w:rsid w:val="001A5163"/>
    <w:rsid w:val="001A52CF"/>
    <w:rsid w:val="001A562E"/>
    <w:rsid w:val="001A566E"/>
    <w:rsid w:val="001A5677"/>
    <w:rsid w:val="001A6A83"/>
    <w:rsid w:val="001B04F3"/>
    <w:rsid w:val="001B083D"/>
    <w:rsid w:val="001B0DAE"/>
    <w:rsid w:val="001B2621"/>
    <w:rsid w:val="001B2B32"/>
    <w:rsid w:val="001B301C"/>
    <w:rsid w:val="001B3E18"/>
    <w:rsid w:val="001B4A6A"/>
    <w:rsid w:val="001B4D7F"/>
    <w:rsid w:val="001B50E0"/>
    <w:rsid w:val="001B7BDD"/>
    <w:rsid w:val="001C0ABA"/>
    <w:rsid w:val="001C0BBA"/>
    <w:rsid w:val="001C0EB8"/>
    <w:rsid w:val="001C1B9A"/>
    <w:rsid w:val="001C289C"/>
    <w:rsid w:val="001C3A4C"/>
    <w:rsid w:val="001C4732"/>
    <w:rsid w:val="001C4ABA"/>
    <w:rsid w:val="001C53D9"/>
    <w:rsid w:val="001C56B8"/>
    <w:rsid w:val="001C5CA5"/>
    <w:rsid w:val="001C6324"/>
    <w:rsid w:val="001D03E4"/>
    <w:rsid w:val="001D06DF"/>
    <w:rsid w:val="001D19D2"/>
    <w:rsid w:val="001D1DF0"/>
    <w:rsid w:val="001D28D0"/>
    <w:rsid w:val="001D3A55"/>
    <w:rsid w:val="001D3B4A"/>
    <w:rsid w:val="001D400B"/>
    <w:rsid w:val="001D4142"/>
    <w:rsid w:val="001D47B5"/>
    <w:rsid w:val="001D56F8"/>
    <w:rsid w:val="001D79AB"/>
    <w:rsid w:val="001E0E62"/>
    <w:rsid w:val="001E12FA"/>
    <w:rsid w:val="001E1439"/>
    <w:rsid w:val="001E17D4"/>
    <w:rsid w:val="001E19F2"/>
    <w:rsid w:val="001E3026"/>
    <w:rsid w:val="001E314C"/>
    <w:rsid w:val="001E3453"/>
    <w:rsid w:val="001E4C1C"/>
    <w:rsid w:val="001E5355"/>
    <w:rsid w:val="001E6AC5"/>
    <w:rsid w:val="001E6C4C"/>
    <w:rsid w:val="001E6F42"/>
    <w:rsid w:val="001E79F3"/>
    <w:rsid w:val="001E7B71"/>
    <w:rsid w:val="001E7F2D"/>
    <w:rsid w:val="001F031B"/>
    <w:rsid w:val="001F07E4"/>
    <w:rsid w:val="001F11D9"/>
    <w:rsid w:val="001F1858"/>
    <w:rsid w:val="001F2695"/>
    <w:rsid w:val="001F28F8"/>
    <w:rsid w:val="001F2EDC"/>
    <w:rsid w:val="001F4CA1"/>
    <w:rsid w:val="001F5CAC"/>
    <w:rsid w:val="001F6E97"/>
    <w:rsid w:val="001F6ECE"/>
    <w:rsid w:val="001F799E"/>
    <w:rsid w:val="002003EA"/>
    <w:rsid w:val="00200C79"/>
    <w:rsid w:val="00201147"/>
    <w:rsid w:val="002013A2"/>
    <w:rsid w:val="00201E84"/>
    <w:rsid w:val="00203082"/>
    <w:rsid w:val="00203ACC"/>
    <w:rsid w:val="00204033"/>
    <w:rsid w:val="002043FC"/>
    <w:rsid w:val="00205681"/>
    <w:rsid w:val="0020581B"/>
    <w:rsid w:val="002064F1"/>
    <w:rsid w:val="00207505"/>
    <w:rsid w:val="00207508"/>
    <w:rsid w:val="0021052B"/>
    <w:rsid w:val="00210882"/>
    <w:rsid w:val="00210F73"/>
    <w:rsid w:val="00211260"/>
    <w:rsid w:val="002113BC"/>
    <w:rsid w:val="00213DF7"/>
    <w:rsid w:val="002143F2"/>
    <w:rsid w:val="00214A5E"/>
    <w:rsid w:val="0021533C"/>
    <w:rsid w:val="00215D71"/>
    <w:rsid w:val="00215FA3"/>
    <w:rsid w:val="002173B8"/>
    <w:rsid w:val="002176A6"/>
    <w:rsid w:val="00222C2B"/>
    <w:rsid w:val="0022385C"/>
    <w:rsid w:val="0022447D"/>
    <w:rsid w:val="002247F2"/>
    <w:rsid w:val="00224FF0"/>
    <w:rsid w:val="00225B72"/>
    <w:rsid w:val="00226036"/>
    <w:rsid w:val="00226731"/>
    <w:rsid w:val="00226B57"/>
    <w:rsid w:val="0022740D"/>
    <w:rsid w:val="00227ADB"/>
    <w:rsid w:val="00227CEA"/>
    <w:rsid w:val="00227F3E"/>
    <w:rsid w:val="002300D9"/>
    <w:rsid w:val="0023034B"/>
    <w:rsid w:val="00230388"/>
    <w:rsid w:val="002309A6"/>
    <w:rsid w:val="00230ECF"/>
    <w:rsid w:val="00230FA1"/>
    <w:rsid w:val="00231EAE"/>
    <w:rsid w:val="0023252E"/>
    <w:rsid w:val="00232727"/>
    <w:rsid w:val="00232BAC"/>
    <w:rsid w:val="002331D2"/>
    <w:rsid w:val="002331F9"/>
    <w:rsid w:val="002342A7"/>
    <w:rsid w:val="002343C9"/>
    <w:rsid w:val="0023476A"/>
    <w:rsid w:val="00234D89"/>
    <w:rsid w:val="00234EC6"/>
    <w:rsid w:val="00236CA4"/>
    <w:rsid w:val="00237AC5"/>
    <w:rsid w:val="00240087"/>
    <w:rsid w:val="0024021F"/>
    <w:rsid w:val="0024054D"/>
    <w:rsid w:val="00241213"/>
    <w:rsid w:val="002412B7"/>
    <w:rsid w:val="00241623"/>
    <w:rsid w:val="002423F4"/>
    <w:rsid w:val="00242B0A"/>
    <w:rsid w:val="00242E5F"/>
    <w:rsid w:val="00243B63"/>
    <w:rsid w:val="0024520C"/>
    <w:rsid w:val="0024665D"/>
    <w:rsid w:val="00246F1E"/>
    <w:rsid w:val="00247903"/>
    <w:rsid w:val="00247C1C"/>
    <w:rsid w:val="00250DF9"/>
    <w:rsid w:val="002517F4"/>
    <w:rsid w:val="00252BE9"/>
    <w:rsid w:val="00253622"/>
    <w:rsid w:val="00254B93"/>
    <w:rsid w:val="002552FC"/>
    <w:rsid w:val="002558EE"/>
    <w:rsid w:val="00255E86"/>
    <w:rsid w:val="0025780C"/>
    <w:rsid w:val="0026076E"/>
    <w:rsid w:val="00260AC7"/>
    <w:rsid w:val="0026154A"/>
    <w:rsid w:val="0026159F"/>
    <w:rsid w:val="0026214E"/>
    <w:rsid w:val="00262E79"/>
    <w:rsid w:val="0026350F"/>
    <w:rsid w:val="002639C3"/>
    <w:rsid w:val="00263F26"/>
    <w:rsid w:val="002641BF"/>
    <w:rsid w:val="00265A14"/>
    <w:rsid w:val="00265B8B"/>
    <w:rsid w:val="00266379"/>
    <w:rsid w:val="0026683E"/>
    <w:rsid w:val="00266A05"/>
    <w:rsid w:val="0027067E"/>
    <w:rsid w:val="00270A10"/>
    <w:rsid w:val="0027139A"/>
    <w:rsid w:val="00271FDA"/>
    <w:rsid w:val="00272133"/>
    <w:rsid w:val="0027227C"/>
    <w:rsid w:val="00272756"/>
    <w:rsid w:val="00272AAA"/>
    <w:rsid w:val="00273F84"/>
    <w:rsid w:val="00274045"/>
    <w:rsid w:val="0027454A"/>
    <w:rsid w:val="002746A3"/>
    <w:rsid w:val="002762C3"/>
    <w:rsid w:val="0027760F"/>
    <w:rsid w:val="002812D1"/>
    <w:rsid w:val="002814A5"/>
    <w:rsid w:val="002823B4"/>
    <w:rsid w:val="002825B8"/>
    <w:rsid w:val="00282794"/>
    <w:rsid w:val="00282891"/>
    <w:rsid w:val="00282A38"/>
    <w:rsid w:val="00284077"/>
    <w:rsid w:val="00284394"/>
    <w:rsid w:val="00284439"/>
    <w:rsid w:val="002848D4"/>
    <w:rsid w:val="00284F01"/>
    <w:rsid w:val="002853EC"/>
    <w:rsid w:val="00286008"/>
    <w:rsid w:val="0028626E"/>
    <w:rsid w:val="00286E8C"/>
    <w:rsid w:val="00287C4E"/>
    <w:rsid w:val="00287CBC"/>
    <w:rsid w:val="00290050"/>
    <w:rsid w:val="002900EA"/>
    <w:rsid w:val="00290911"/>
    <w:rsid w:val="00290A2E"/>
    <w:rsid w:val="00290E54"/>
    <w:rsid w:val="002911CF"/>
    <w:rsid w:val="00291DBF"/>
    <w:rsid w:val="00293020"/>
    <w:rsid w:val="0029354E"/>
    <w:rsid w:val="0029365B"/>
    <w:rsid w:val="00293EB9"/>
    <w:rsid w:val="00294182"/>
    <w:rsid w:val="002942B1"/>
    <w:rsid w:val="0029512B"/>
    <w:rsid w:val="00295342"/>
    <w:rsid w:val="0029560C"/>
    <w:rsid w:val="00295664"/>
    <w:rsid w:val="002957B7"/>
    <w:rsid w:val="00296B24"/>
    <w:rsid w:val="00296DCC"/>
    <w:rsid w:val="00297DFB"/>
    <w:rsid w:val="002A0106"/>
    <w:rsid w:val="002A012D"/>
    <w:rsid w:val="002A08DB"/>
    <w:rsid w:val="002A0999"/>
    <w:rsid w:val="002A1221"/>
    <w:rsid w:val="002A187E"/>
    <w:rsid w:val="002A20B4"/>
    <w:rsid w:val="002A22C4"/>
    <w:rsid w:val="002A32B0"/>
    <w:rsid w:val="002A3599"/>
    <w:rsid w:val="002A3DB8"/>
    <w:rsid w:val="002A4543"/>
    <w:rsid w:val="002A45EA"/>
    <w:rsid w:val="002A4B24"/>
    <w:rsid w:val="002A58F4"/>
    <w:rsid w:val="002A5B2C"/>
    <w:rsid w:val="002A5EB7"/>
    <w:rsid w:val="002A621E"/>
    <w:rsid w:val="002A7BCB"/>
    <w:rsid w:val="002A7E47"/>
    <w:rsid w:val="002B02D8"/>
    <w:rsid w:val="002B0DAA"/>
    <w:rsid w:val="002B15CB"/>
    <w:rsid w:val="002B168A"/>
    <w:rsid w:val="002B39C1"/>
    <w:rsid w:val="002B4115"/>
    <w:rsid w:val="002B4EDD"/>
    <w:rsid w:val="002B5AD4"/>
    <w:rsid w:val="002B676C"/>
    <w:rsid w:val="002B6983"/>
    <w:rsid w:val="002B6ABC"/>
    <w:rsid w:val="002B7430"/>
    <w:rsid w:val="002B7F63"/>
    <w:rsid w:val="002C17F7"/>
    <w:rsid w:val="002C2A14"/>
    <w:rsid w:val="002C31C2"/>
    <w:rsid w:val="002C33A9"/>
    <w:rsid w:val="002C55D5"/>
    <w:rsid w:val="002C5D14"/>
    <w:rsid w:val="002C623F"/>
    <w:rsid w:val="002C6769"/>
    <w:rsid w:val="002D0216"/>
    <w:rsid w:val="002D0F22"/>
    <w:rsid w:val="002D1354"/>
    <w:rsid w:val="002D19EC"/>
    <w:rsid w:val="002D2275"/>
    <w:rsid w:val="002D25B5"/>
    <w:rsid w:val="002D2B27"/>
    <w:rsid w:val="002D2DB7"/>
    <w:rsid w:val="002D319F"/>
    <w:rsid w:val="002D31A9"/>
    <w:rsid w:val="002D3DED"/>
    <w:rsid w:val="002D49BC"/>
    <w:rsid w:val="002D4D4E"/>
    <w:rsid w:val="002D4D9C"/>
    <w:rsid w:val="002D5237"/>
    <w:rsid w:val="002D6518"/>
    <w:rsid w:val="002D697F"/>
    <w:rsid w:val="002D75D2"/>
    <w:rsid w:val="002D783B"/>
    <w:rsid w:val="002E0A0D"/>
    <w:rsid w:val="002E18F3"/>
    <w:rsid w:val="002E1947"/>
    <w:rsid w:val="002E1FBE"/>
    <w:rsid w:val="002E2877"/>
    <w:rsid w:val="002E2BF5"/>
    <w:rsid w:val="002E3094"/>
    <w:rsid w:val="002E49F4"/>
    <w:rsid w:val="002E51D3"/>
    <w:rsid w:val="002E5C20"/>
    <w:rsid w:val="002E68C8"/>
    <w:rsid w:val="002E6E4C"/>
    <w:rsid w:val="002E76B2"/>
    <w:rsid w:val="002E798F"/>
    <w:rsid w:val="002E7B25"/>
    <w:rsid w:val="002E7B9A"/>
    <w:rsid w:val="002F06B8"/>
    <w:rsid w:val="002F0D29"/>
    <w:rsid w:val="002F15E8"/>
    <w:rsid w:val="002F19E4"/>
    <w:rsid w:val="002F1B2B"/>
    <w:rsid w:val="002F1B34"/>
    <w:rsid w:val="002F2662"/>
    <w:rsid w:val="002F29BA"/>
    <w:rsid w:val="002F2B78"/>
    <w:rsid w:val="002F3CD6"/>
    <w:rsid w:val="002F41F3"/>
    <w:rsid w:val="002F55D0"/>
    <w:rsid w:val="002F5A63"/>
    <w:rsid w:val="002F5FE1"/>
    <w:rsid w:val="002F7D54"/>
    <w:rsid w:val="003004B0"/>
    <w:rsid w:val="00300B1A"/>
    <w:rsid w:val="00301275"/>
    <w:rsid w:val="0030307F"/>
    <w:rsid w:val="0030349B"/>
    <w:rsid w:val="00303EDE"/>
    <w:rsid w:val="003040B8"/>
    <w:rsid w:val="0030462C"/>
    <w:rsid w:val="00306B11"/>
    <w:rsid w:val="00306DAC"/>
    <w:rsid w:val="003070E9"/>
    <w:rsid w:val="00310057"/>
    <w:rsid w:val="00310666"/>
    <w:rsid w:val="00310671"/>
    <w:rsid w:val="00311129"/>
    <w:rsid w:val="0031119A"/>
    <w:rsid w:val="003122AE"/>
    <w:rsid w:val="00312707"/>
    <w:rsid w:val="00313969"/>
    <w:rsid w:val="00314A08"/>
    <w:rsid w:val="00314A96"/>
    <w:rsid w:val="00314F27"/>
    <w:rsid w:val="00316702"/>
    <w:rsid w:val="003174E2"/>
    <w:rsid w:val="00320DD2"/>
    <w:rsid w:val="00321D7E"/>
    <w:rsid w:val="00321DB7"/>
    <w:rsid w:val="003221ED"/>
    <w:rsid w:val="0032230B"/>
    <w:rsid w:val="0032480D"/>
    <w:rsid w:val="00325DD5"/>
    <w:rsid w:val="00326731"/>
    <w:rsid w:val="003269A8"/>
    <w:rsid w:val="00326E08"/>
    <w:rsid w:val="00326E88"/>
    <w:rsid w:val="00330C00"/>
    <w:rsid w:val="00330D49"/>
    <w:rsid w:val="00331D6C"/>
    <w:rsid w:val="003322B0"/>
    <w:rsid w:val="003323FE"/>
    <w:rsid w:val="00332E0D"/>
    <w:rsid w:val="0033331F"/>
    <w:rsid w:val="00333D38"/>
    <w:rsid w:val="0033445F"/>
    <w:rsid w:val="003351F3"/>
    <w:rsid w:val="00336350"/>
    <w:rsid w:val="00336BC8"/>
    <w:rsid w:val="00340842"/>
    <w:rsid w:val="00340CC9"/>
    <w:rsid w:val="00340D87"/>
    <w:rsid w:val="0034112A"/>
    <w:rsid w:val="003422A0"/>
    <w:rsid w:val="003422EB"/>
    <w:rsid w:val="00343BBB"/>
    <w:rsid w:val="00344044"/>
    <w:rsid w:val="00345932"/>
    <w:rsid w:val="00345D88"/>
    <w:rsid w:val="00346F70"/>
    <w:rsid w:val="003479B9"/>
    <w:rsid w:val="00347D74"/>
    <w:rsid w:val="0035069F"/>
    <w:rsid w:val="00351042"/>
    <w:rsid w:val="00351510"/>
    <w:rsid w:val="00354E79"/>
    <w:rsid w:val="00354E9D"/>
    <w:rsid w:val="0035589B"/>
    <w:rsid w:val="00355A55"/>
    <w:rsid w:val="00355AD3"/>
    <w:rsid w:val="00361962"/>
    <w:rsid w:val="0036298D"/>
    <w:rsid w:val="00363241"/>
    <w:rsid w:val="00363410"/>
    <w:rsid w:val="0036397B"/>
    <w:rsid w:val="003639B0"/>
    <w:rsid w:val="00363DA9"/>
    <w:rsid w:val="00365437"/>
    <w:rsid w:val="00365B5F"/>
    <w:rsid w:val="00365C54"/>
    <w:rsid w:val="00365E5A"/>
    <w:rsid w:val="0036650A"/>
    <w:rsid w:val="00366556"/>
    <w:rsid w:val="0036664D"/>
    <w:rsid w:val="00367CC7"/>
    <w:rsid w:val="003719E9"/>
    <w:rsid w:val="00371CC1"/>
    <w:rsid w:val="003731AA"/>
    <w:rsid w:val="003736D7"/>
    <w:rsid w:val="00373E08"/>
    <w:rsid w:val="00374575"/>
    <w:rsid w:val="003751BE"/>
    <w:rsid w:val="00376A39"/>
    <w:rsid w:val="00382446"/>
    <w:rsid w:val="003824C5"/>
    <w:rsid w:val="00382558"/>
    <w:rsid w:val="00382BB8"/>
    <w:rsid w:val="003837A7"/>
    <w:rsid w:val="00383FFD"/>
    <w:rsid w:val="00384600"/>
    <w:rsid w:val="003859EE"/>
    <w:rsid w:val="00385EF7"/>
    <w:rsid w:val="003869D8"/>
    <w:rsid w:val="00386BDC"/>
    <w:rsid w:val="00386E9C"/>
    <w:rsid w:val="00387304"/>
    <w:rsid w:val="00387792"/>
    <w:rsid w:val="00387D17"/>
    <w:rsid w:val="00390FA7"/>
    <w:rsid w:val="00393093"/>
    <w:rsid w:val="00393672"/>
    <w:rsid w:val="00394320"/>
    <w:rsid w:val="00395180"/>
    <w:rsid w:val="003971BD"/>
    <w:rsid w:val="003A085F"/>
    <w:rsid w:val="003A200B"/>
    <w:rsid w:val="003A2A77"/>
    <w:rsid w:val="003A2FAF"/>
    <w:rsid w:val="003A3C30"/>
    <w:rsid w:val="003A4F00"/>
    <w:rsid w:val="003A53AC"/>
    <w:rsid w:val="003A5536"/>
    <w:rsid w:val="003A5A4A"/>
    <w:rsid w:val="003A5D8C"/>
    <w:rsid w:val="003A65D2"/>
    <w:rsid w:val="003A6757"/>
    <w:rsid w:val="003A6985"/>
    <w:rsid w:val="003B0438"/>
    <w:rsid w:val="003B04C2"/>
    <w:rsid w:val="003B19A8"/>
    <w:rsid w:val="003B1A93"/>
    <w:rsid w:val="003B44EA"/>
    <w:rsid w:val="003B4E60"/>
    <w:rsid w:val="003B5197"/>
    <w:rsid w:val="003B55BC"/>
    <w:rsid w:val="003B59C0"/>
    <w:rsid w:val="003B5EE4"/>
    <w:rsid w:val="003B7019"/>
    <w:rsid w:val="003B75B8"/>
    <w:rsid w:val="003C06A0"/>
    <w:rsid w:val="003C0EE4"/>
    <w:rsid w:val="003C28C6"/>
    <w:rsid w:val="003C47F5"/>
    <w:rsid w:val="003C4E99"/>
    <w:rsid w:val="003C545D"/>
    <w:rsid w:val="003C621C"/>
    <w:rsid w:val="003C6896"/>
    <w:rsid w:val="003C7701"/>
    <w:rsid w:val="003D0EE4"/>
    <w:rsid w:val="003D11AC"/>
    <w:rsid w:val="003D2C33"/>
    <w:rsid w:val="003D32F4"/>
    <w:rsid w:val="003D3ED8"/>
    <w:rsid w:val="003D40C8"/>
    <w:rsid w:val="003D4BD4"/>
    <w:rsid w:val="003D56B6"/>
    <w:rsid w:val="003D5EC3"/>
    <w:rsid w:val="003D6042"/>
    <w:rsid w:val="003D6150"/>
    <w:rsid w:val="003D6F12"/>
    <w:rsid w:val="003D7B6D"/>
    <w:rsid w:val="003D7C06"/>
    <w:rsid w:val="003E032F"/>
    <w:rsid w:val="003E0AB3"/>
    <w:rsid w:val="003E0D4E"/>
    <w:rsid w:val="003E0F45"/>
    <w:rsid w:val="003E149D"/>
    <w:rsid w:val="003E1653"/>
    <w:rsid w:val="003E2995"/>
    <w:rsid w:val="003E2ACA"/>
    <w:rsid w:val="003E3A84"/>
    <w:rsid w:val="003E40D7"/>
    <w:rsid w:val="003E47E1"/>
    <w:rsid w:val="003E5163"/>
    <w:rsid w:val="003E6348"/>
    <w:rsid w:val="003E6E9D"/>
    <w:rsid w:val="003F0019"/>
    <w:rsid w:val="003F2BF8"/>
    <w:rsid w:val="003F2ED7"/>
    <w:rsid w:val="003F36C1"/>
    <w:rsid w:val="003F370D"/>
    <w:rsid w:val="003F46D4"/>
    <w:rsid w:val="003F6327"/>
    <w:rsid w:val="003F6661"/>
    <w:rsid w:val="003F70C1"/>
    <w:rsid w:val="003F7875"/>
    <w:rsid w:val="00401A5A"/>
    <w:rsid w:val="00402964"/>
    <w:rsid w:val="00402A21"/>
    <w:rsid w:val="00402F9F"/>
    <w:rsid w:val="00403C4E"/>
    <w:rsid w:val="004040AC"/>
    <w:rsid w:val="00404436"/>
    <w:rsid w:val="00404617"/>
    <w:rsid w:val="00404F9F"/>
    <w:rsid w:val="0040568C"/>
    <w:rsid w:val="00405C5C"/>
    <w:rsid w:val="00406100"/>
    <w:rsid w:val="00407819"/>
    <w:rsid w:val="00412304"/>
    <w:rsid w:val="004125B3"/>
    <w:rsid w:val="00412B9E"/>
    <w:rsid w:val="00412DF5"/>
    <w:rsid w:val="00413893"/>
    <w:rsid w:val="00414447"/>
    <w:rsid w:val="0041466B"/>
    <w:rsid w:val="00414DC9"/>
    <w:rsid w:val="00415441"/>
    <w:rsid w:val="00415AEC"/>
    <w:rsid w:val="00415D24"/>
    <w:rsid w:val="0041623D"/>
    <w:rsid w:val="00416DBD"/>
    <w:rsid w:val="0041731C"/>
    <w:rsid w:val="00417332"/>
    <w:rsid w:val="00417B23"/>
    <w:rsid w:val="0042101A"/>
    <w:rsid w:val="004212C7"/>
    <w:rsid w:val="0042266E"/>
    <w:rsid w:val="00422C6D"/>
    <w:rsid w:val="0042389D"/>
    <w:rsid w:val="00423AAD"/>
    <w:rsid w:val="00423D36"/>
    <w:rsid w:val="004246CE"/>
    <w:rsid w:val="00424CD6"/>
    <w:rsid w:val="00426BE3"/>
    <w:rsid w:val="00426DDE"/>
    <w:rsid w:val="00427CC5"/>
    <w:rsid w:val="0043042C"/>
    <w:rsid w:val="00430E97"/>
    <w:rsid w:val="00431E40"/>
    <w:rsid w:val="004323E0"/>
    <w:rsid w:val="0043254B"/>
    <w:rsid w:val="00433AAB"/>
    <w:rsid w:val="00433F12"/>
    <w:rsid w:val="00434691"/>
    <w:rsid w:val="00434E36"/>
    <w:rsid w:val="00435360"/>
    <w:rsid w:val="004362E1"/>
    <w:rsid w:val="00436348"/>
    <w:rsid w:val="0043681D"/>
    <w:rsid w:val="004368C5"/>
    <w:rsid w:val="00436CF0"/>
    <w:rsid w:val="00437397"/>
    <w:rsid w:val="00441E83"/>
    <w:rsid w:val="004435D3"/>
    <w:rsid w:val="004446DD"/>
    <w:rsid w:val="00444D7E"/>
    <w:rsid w:val="00445DAA"/>
    <w:rsid w:val="004460FD"/>
    <w:rsid w:val="0044617E"/>
    <w:rsid w:val="00447072"/>
    <w:rsid w:val="00447685"/>
    <w:rsid w:val="004516E6"/>
    <w:rsid w:val="00452515"/>
    <w:rsid w:val="0045349E"/>
    <w:rsid w:val="0045423C"/>
    <w:rsid w:val="0045539A"/>
    <w:rsid w:val="004561DD"/>
    <w:rsid w:val="00456862"/>
    <w:rsid w:val="00456DB0"/>
    <w:rsid w:val="0045710C"/>
    <w:rsid w:val="00457385"/>
    <w:rsid w:val="004573A5"/>
    <w:rsid w:val="00457B88"/>
    <w:rsid w:val="004613D8"/>
    <w:rsid w:val="00462113"/>
    <w:rsid w:val="00463EE9"/>
    <w:rsid w:val="00464587"/>
    <w:rsid w:val="004645FA"/>
    <w:rsid w:val="0046461F"/>
    <w:rsid w:val="00465403"/>
    <w:rsid w:val="004662FD"/>
    <w:rsid w:val="00466B3E"/>
    <w:rsid w:val="004670BE"/>
    <w:rsid w:val="00467804"/>
    <w:rsid w:val="00467B85"/>
    <w:rsid w:val="004715BA"/>
    <w:rsid w:val="00473BAC"/>
    <w:rsid w:val="004741A7"/>
    <w:rsid w:val="00474BE2"/>
    <w:rsid w:val="00475319"/>
    <w:rsid w:val="004755B7"/>
    <w:rsid w:val="004763B8"/>
    <w:rsid w:val="00476DDC"/>
    <w:rsid w:val="00477FD9"/>
    <w:rsid w:val="004805B6"/>
    <w:rsid w:val="004807EA"/>
    <w:rsid w:val="00480AD5"/>
    <w:rsid w:val="00480DCC"/>
    <w:rsid w:val="00481310"/>
    <w:rsid w:val="004815BA"/>
    <w:rsid w:val="00482F0C"/>
    <w:rsid w:val="004831BE"/>
    <w:rsid w:val="00484008"/>
    <w:rsid w:val="0048424C"/>
    <w:rsid w:val="004844B2"/>
    <w:rsid w:val="004852D0"/>
    <w:rsid w:val="00485C8E"/>
    <w:rsid w:val="00485D71"/>
    <w:rsid w:val="004861C4"/>
    <w:rsid w:val="00486E67"/>
    <w:rsid w:val="0048757C"/>
    <w:rsid w:val="0049142B"/>
    <w:rsid w:val="0049173E"/>
    <w:rsid w:val="00491918"/>
    <w:rsid w:val="00491DB1"/>
    <w:rsid w:val="00491FEB"/>
    <w:rsid w:val="004939D9"/>
    <w:rsid w:val="00493BF1"/>
    <w:rsid w:val="00493FA0"/>
    <w:rsid w:val="00494050"/>
    <w:rsid w:val="00494263"/>
    <w:rsid w:val="00494350"/>
    <w:rsid w:val="00494637"/>
    <w:rsid w:val="004947BF"/>
    <w:rsid w:val="0049484D"/>
    <w:rsid w:val="0049574D"/>
    <w:rsid w:val="004959B8"/>
    <w:rsid w:val="00496C91"/>
    <w:rsid w:val="00497112"/>
    <w:rsid w:val="00497813"/>
    <w:rsid w:val="00497CDC"/>
    <w:rsid w:val="004A0CB7"/>
    <w:rsid w:val="004A1483"/>
    <w:rsid w:val="004A14BC"/>
    <w:rsid w:val="004A1670"/>
    <w:rsid w:val="004A1D76"/>
    <w:rsid w:val="004A1EF1"/>
    <w:rsid w:val="004A2464"/>
    <w:rsid w:val="004A2703"/>
    <w:rsid w:val="004A2975"/>
    <w:rsid w:val="004A2C57"/>
    <w:rsid w:val="004A30AB"/>
    <w:rsid w:val="004A3A23"/>
    <w:rsid w:val="004A405F"/>
    <w:rsid w:val="004A4774"/>
    <w:rsid w:val="004A60CA"/>
    <w:rsid w:val="004A6299"/>
    <w:rsid w:val="004A7547"/>
    <w:rsid w:val="004A78EF"/>
    <w:rsid w:val="004B0352"/>
    <w:rsid w:val="004B12AF"/>
    <w:rsid w:val="004B138B"/>
    <w:rsid w:val="004B5521"/>
    <w:rsid w:val="004B5C42"/>
    <w:rsid w:val="004B77D8"/>
    <w:rsid w:val="004B7B6C"/>
    <w:rsid w:val="004B7D4A"/>
    <w:rsid w:val="004C0037"/>
    <w:rsid w:val="004C0D20"/>
    <w:rsid w:val="004C0F59"/>
    <w:rsid w:val="004C1DA0"/>
    <w:rsid w:val="004C4219"/>
    <w:rsid w:val="004C4C94"/>
    <w:rsid w:val="004C5B43"/>
    <w:rsid w:val="004C6777"/>
    <w:rsid w:val="004C7218"/>
    <w:rsid w:val="004C7C4C"/>
    <w:rsid w:val="004C7DB3"/>
    <w:rsid w:val="004D0A1B"/>
    <w:rsid w:val="004D0AA3"/>
    <w:rsid w:val="004D0D57"/>
    <w:rsid w:val="004D1EAA"/>
    <w:rsid w:val="004D1ED6"/>
    <w:rsid w:val="004D2B17"/>
    <w:rsid w:val="004D2B47"/>
    <w:rsid w:val="004D3B05"/>
    <w:rsid w:val="004D4A11"/>
    <w:rsid w:val="004D4AB5"/>
    <w:rsid w:val="004D4B39"/>
    <w:rsid w:val="004D604F"/>
    <w:rsid w:val="004D7C50"/>
    <w:rsid w:val="004E06C2"/>
    <w:rsid w:val="004E120F"/>
    <w:rsid w:val="004E2246"/>
    <w:rsid w:val="004E2370"/>
    <w:rsid w:val="004E267E"/>
    <w:rsid w:val="004E2BB9"/>
    <w:rsid w:val="004E4AAF"/>
    <w:rsid w:val="004E610F"/>
    <w:rsid w:val="004F016A"/>
    <w:rsid w:val="004F0650"/>
    <w:rsid w:val="004F1609"/>
    <w:rsid w:val="004F188A"/>
    <w:rsid w:val="004F1B33"/>
    <w:rsid w:val="004F242D"/>
    <w:rsid w:val="004F2CC6"/>
    <w:rsid w:val="004F333F"/>
    <w:rsid w:val="004F34A1"/>
    <w:rsid w:val="004F42E2"/>
    <w:rsid w:val="004F44C0"/>
    <w:rsid w:val="004F4D49"/>
    <w:rsid w:val="004F59DB"/>
    <w:rsid w:val="004F5FFD"/>
    <w:rsid w:val="004F613C"/>
    <w:rsid w:val="004F6209"/>
    <w:rsid w:val="004F6D55"/>
    <w:rsid w:val="004F737B"/>
    <w:rsid w:val="005002F1"/>
    <w:rsid w:val="005012D8"/>
    <w:rsid w:val="00501D7B"/>
    <w:rsid w:val="005023BC"/>
    <w:rsid w:val="005034FA"/>
    <w:rsid w:val="0050402B"/>
    <w:rsid w:val="0050503E"/>
    <w:rsid w:val="00505DCB"/>
    <w:rsid w:val="005062C2"/>
    <w:rsid w:val="00506850"/>
    <w:rsid w:val="0050689F"/>
    <w:rsid w:val="00510966"/>
    <w:rsid w:val="00511890"/>
    <w:rsid w:val="00512278"/>
    <w:rsid w:val="00512429"/>
    <w:rsid w:val="00512A27"/>
    <w:rsid w:val="00512D11"/>
    <w:rsid w:val="00513323"/>
    <w:rsid w:val="00513355"/>
    <w:rsid w:val="005137D0"/>
    <w:rsid w:val="00513908"/>
    <w:rsid w:val="00513A45"/>
    <w:rsid w:val="00513EAC"/>
    <w:rsid w:val="0051427C"/>
    <w:rsid w:val="005147EB"/>
    <w:rsid w:val="005148DF"/>
    <w:rsid w:val="00515064"/>
    <w:rsid w:val="00515A81"/>
    <w:rsid w:val="00515AB5"/>
    <w:rsid w:val="00516625"/>
    <w:rsid w:val="00516A3F"/>
    <w:rsid w:val="005170BB"/>
    <w:rsid w:val="00517123"/>
    <w:rsid w:val="005171DB"/>
    <w:rsid w:val="00517AD9"/>
    <w:rsid w:val="00517BF2"/>
    <w:rsid w:val="0052155F"/>
    <w:rsid w:val="00521DAD"/>
    <w:rsid w:val="0052307E"/>
    <w:rsid w:val="0052342D"/>
    <w:rsid w:val="005236D9"/>
    <w:rsid w:val="00524607"/>
    <w:rsid w:val="00524BB3"/>
    <w:rsid w:val="005250FE"/>
    <w:rsid w:val="00525B1B"/>
    <w:rsid w:val="00525BA5"/>
    <w:rsid w:val="00526116"/>
    <w:rsid w:val="00526A0E"/>
    <w:rsid w:val="00530258"/>
    <w:rsid w:val="005316F9"/>
    <w:rsid w:val="00531CC5"/>
    <w:rsid w:val="00531FB3"/>
    <w:rsid w:val="005334A1"/>
    <w:rsid w:val="005334AD"/>
    <w:rsid w:val="0053474E"/>
    <w:rsid w:val="00534C60"/>
    <w:rsid w:val="005357CF"/>
    <w:rsid w:val="00535EE5"/>
    <w:rsid w:val="0053788D"/>
    <w:rsid w:val="00541AD8"/>
    <w:rsid w:val="00542096"/>
    <w:rsid w:val="00542456"/>
    <w:rsid w:val="00542899"/>
    <w:rsid w:val="005430E7"/>
    <w:rsid w:val="005434CA"/>
    <w:rsid w:val="00543B51"/>
    <w:rsid w:val="00543DCA"/>
    <w:rsid w:val="00544556"/>
    <w:rsid w:val="00546003"/>
    <w:rsid w:val="005462CE"/>
    <w:rsid w:val="00546586"/>
    <w:rsid w:val="005477F5"/>
    <w:rsid w:val="005508F9"/>
    <w:rsid w:val="00550FBC"/>
    <w:rsid w:val="00551184"/>
    <w:rsid w:val="00551212"/>
    <w:rsid w:val="00551D97"/>
    <w:rsid w:val="0055237D"/>
    <w:rsid w:val="0055308A"/>
    <w:rsid w:val="00553198"/>
    <w:rsid w:val="005531DD"/>
    <w:rsid w:val="00553304"/>
    <w:rsid w:val="005538F9"/>
    <w:rsid w:val="00553C09"/>
    <w:rsid w:val="0055409E"/>
    <w:rsid w:val="0055506F"/>
    <w:rsid w:val="00556DBB"/>
    <w:rsid w:val="005572E0"/>
    <w:rsid w:val="00561D63"/>
    <w:rsid w:val="005627C8"/>
    <w:rsid w:val="005629EF"/>
    <w:rsid w:val="00562AFF"/>
    <w:rsid w:val="005658E4"/>
    <w:rsid w:val="00567C7D"/>
    <w:rsid w:val="00567CFD"/>
    <w:rsid w:val="005704B1"/>
    <w:rsid w:val="00570CF9"/>
    <w:rsid w:val="00570D6C"/>
    <w:rsid w:val="005716BE"/>
    <w:rsid w:val="005728E4"/>
    <w:rsid w:val="00572F63"/>
    <w:rsid w:val="00572F8C"/>
    <w:rsid w:val="005737F9"/>
    <w:rsid w:val="00573E65"/>
    <w:rsid w:val="00573FC8"/>
    <w:rsid w:val="00574514"/>
    <w:rsid w:val="005747D3"/>
    <w:rsid w:val="00575657"/>
    <w:rsid w:val="00577896"/>
    <w:rsid w:val="00577ABC"/>
    <w:rsid w:val="00577DBA"/>
    <w:rsid w:val="00580CFB"/>
    <w:rsid w:val="005810E8"/>
    <w:rsid w:val="00581FB2"/>
    <w:rsid w:val="00583838"/>
    <w:rsid w:val="00583FB1"/>
    <w:rsid w:val="00584C49"/>
    <w:rsid w:val="00584E80"/>
    <w:rsid w:val="0058638E"/>
    <w:rsid w:val="00587D0F"/>
    <w:rsid w:val="005903FC"/>
    <w:rsid w:val="005905B2"/>
    <w:rsid w:val="00591165"/>
    <w:rsid w:val="00592FF4"/>
    <w:rsid w:val="005932E9"/>
    <w:rsid w:val="0059338D"/>
    <w:rsid w:val="005939A5"/>
    <w:rsid w:val="005940FC"/>
    <w:rsid w:val="0059623D"/>
    <w:rsid w:val="00596C4A"/>
    <w:rsid w:val="00597838"/>
    <w:rsid w:val="005A01AE"/>
    <w:rsid w:val="005A05D6"/>
    <w:rsid w:val="005A162C"/>
    <w:rsid w:val="005A1D99"/>
    <w:rsid w:val="005A2CB5"/>
    <w:rsid w:val="005A2D8E"/>
    <w:rsid w:val="005A30D6"/>
    <w:rsid w:val="005A3238"/>
    <w:rsid w:val="005A35B1"/>
    <w:rsid w:val="005A3D2F"/>
    <w:rsid w:val="005A5A3C"/>
    <w:rsid w:val="005A5F8D"/>
    <w:rsid w:val="005A60C6"/>
    <w:rsid w:val="005A6722"/>
    <w:rsid w:val="005A6768"/>
    <w:rsid w:val="005A78D2"/>
    <w:rsid w:val="005B0458"/>
    <w:rsid w:val="005B1BC4"/>
    <w:rsid w:val="005B21AC"/>
    <w:rsid w:val="005B2696"/>
    <w:rsid w:val="005B35C8"/>
    <w:rsid w:val="005B3A47"/>
    <w:rsid w:val="005B598C"/>
    <w:rsid w:val="005B59BC"/>
    <w:rsid w:val="005B59C4"/>
    <w:rsid w:val="005B6D5B"/>
    <w:rsid w:val="005B7158"/>
    <w:rsid w:val="005B773E"/>
    <w:rsid w:val="005B7DF8"/>
    <w:rsid w:val="005C00ED"/>
    <w:rsid w:val="005C08C6"/>
    <w:rsid w:val="005C0D26"/>
    <w:rsid w:val="005C18BB"/>
    <w:rsid w:val="005C218C"/>
    <w:rsid w:val="005C23A1"/>
    <w:rsid w:val="005C291A"/>
    <w:rsid w:val="005C596A"/>
    <w:rsid w:val="005C5BF3"/>
    <w:rsid w:val="005C640B"/>
    <w:rsid w:val="005C7780"/>
    <w:rsid w:val="005D0350"/>
    <w:rsid w:val="005D07D3"/>
    <w:rsid w:val="005D152F"/>
    <w:rsid w:val="005D2370"/>
    <w:rsid w:val="005D2409"/>
    <w:rsid w:val="005D2709"/>
    <w:rsid w:val="005D2CDC"/>
    <w:rsid w:val="005D5049"/>
    <w:rsid w:val="005D6062"/>
    <w:rsid w:val="005D685A"/>
    <w:rsid w:val="005D68D4"/>
    <w:rsid w:val="005E0227"/>
    <w:rsid w:val="005E18C5"/>
    <w:rsid w:val="005E281B"/>
    <w:rsid w:val="005E2906"/>
    <w:rsid w:val="005E4468"/>
    <w:rsid w:val="005E4EA3"/>
    <w:rsid w:val="005E6FC3"/>
    <w:rsid w:val="005E739B"/>
    <w:rsid w:val="005F0165"/>
    <w:rsid w:val="005F12D2"/>
    <w:rsid w:val="005F1602"/>
    <w:rsid w:val="005F1625"/>
    <w:rsid w:val="005F16F0"/>
    <w:rsid w:val="005F2157"/>
    <w:rsid w:val="005F2A0F"/>
    <w:rsid w:val="005F2D00"/>
    <w:rsid w:val="005F3C29"/>
    <w:rsid w:val="005F3C9C"/>
    <w:rsid w:val="005F51BD"/>
    <w:rsid w:val="005F5358"/>
    <w:rsid w:val="005F614F"/>
    <w:rsid w:val="005F6E0A"/>
    <w:rsid w:val="00600311"/>
    <w:rsid w:val="00600340"/>
    <w:rsid w:val="00602C89"/>
    <w:rsid w:val="00603E84"/>
    <w:rsid w:val="00604C57"/>
    <w:rsid w:val="00605AEB"/>
    <w:rsid w:val="0060672A"/>
    <w:rsid w:val="00606745"/>
    <w:rsid w:val="006067FE"/>
    <w:rsid w:val="0061074D"/>
    <w:rsid w:val="00610880"/>
    <w:rsid w:val="006112E5"/>
    <w:rsid w:val="00611F2C"/>
    <w:rsid w:val="00612836"/>
    <w:rsid w:val="0061390B"/>
    <w:rsid w:val="00614454"/>
    <w:rsid w:val="00614ADA"/>
    <w:rsid w:val="00615D33"/>
    <w:rsid w:val="00617705"/>
    <w:rsid w:val="00621D29"/>
    <w:rsid w:val="006224D8"/>
    <w:rsid w:val="00622A2D"/>
    <w:rsid w:val="00622A3A"/>
    <w:rsid w:val="00622C55"/>
    <w:rsid w:val="006232BB"/>
    <w:rsid w:val="00624857"/>
    <w:rsid w:val="006259A5"/>
    <w:rsid w:val="00625CFC"/>
    <w:rsid w:val="00625EB7"/>
    <w:rsid w:val="00626FA7"/>
    <w:rsid w:val="00627463"/>
    <w:rsid w:val="00627A8E"/>
    <w:rsid w:val="00630128"/>
    <w:rsid w:val="00630301"/>
    <w:rsid w:val="006308D3"/>
    <w:rsid w:val="00630AD6"/>
    <w:rsid w:val="00630F46"/>
    <w:rsid w:val="0063155B"/>
    <w:rsid w:val="006318FB"/>
    <w:rsid w:val="006324F2"/>
    <w:rsid w:val="00632CD9"/>
    <w:rsid w:val="00633761"/>
    <w:rsid w:val="00634EA1"/>
    <w:rsid w:val="006359F4"/>
    <w:rsid w:val="00635AE7"/>
    <w:rsid w:val="006362FC"/>
    <w:rsid w:val="00636495"/>
    <w:rsid w:val="00636743"/>
    <w:rsid w:val="00636833"/>
    <w:rsid w:val="00641479"/>
    <w:rsid w:val="00641A82"/>
    <w:rsid w:val="00641E8A"/>
    <w:rsid w:val="00643EC4"/>
    <w:rsid w:val="0064458D"/>
    <w:rsid w:val="00644877"/>
    <w:rsid w:val="006453CF"/>
    <w:rsid w:val="00646178"/>
    <w:rsid w:val="00646418"/>
    <w:rsid w:val="006470C5"/>
    <w:rsid w:val="00647399"/>
    <w:rsid w:val="00647902"/>
    <w:rsid w:val="00650119"/>
    <w:rsid w:val="0065127A"/>
    <w:rsid w:val="00652496"/>
    <w:rsid w:val="006526FA"/>
    <w:rsid w:val="00653394"/>
    <w:rsid w:val="00654DC3"/>
    <w:rsid w:val="006557D7"/>
    <w:rsid w:val="00655B83"/>
    <w:rsid w:val="00655C3C"/>
    <w:rsid w:val="00656407"/>
    <w:rsid w:val="0065704C"/>
    <w:rsid w:val="006572B6"/>
    <w:rsid w:val="006601CE"/>
    <w:rsid w:val="00660825"/>
    <w:rsid w:val="00661454"/>
    <w:rsid w:val="006617FE"/>
    <w:rsid w:val="00661DDA"/>
    <w:rsid w:val="006621C9"/>
    <w:rsid w:val="00662268"/>
    <w:rsid w:val="006634A7"/>
    <w:rsid w:val="00665A4B"/>
    <w:rsid w:val="00666210"/>
    <w:rsid w:val="0066663A"/>
    <w:rsid w:val="00666855"/>
    <w:rsid w:val="006679F2"/>
    <w:rsid w:val="00667D22"/>
    <w:rsid w:val="0067059F"/>
    <w:rsid w:val="0067062C"/>
    <w:rsid w:val="006707A3"/>
    <w:rsid w:val="0067106F"/>
    <w:rsid w:val="00671DBD"/>
    <w:rsid w:val="006730AC"/>
    <w:rsid w:val="006749F0"/>
    <w:rsid w:val="00674EEC"/>
    <w:rsid w:val="00675151"/>
    <w:rsid w:val="00676722"/>
    <w:rsid w:val="0067704A"/>
    <w:rsid w:val="00677494"/>
    <w:rsid w:val="00677A19"/>
    <w:rsid w:val="00677ECB"/>
    <w:rsid w:val="006813DD"/>
    <w:rsid w:val="006816F2"/>
    <w:rsid w:val="006819F9"/>
    <w:rsid w:val="00681E91"/>
    <w:rsid w:val="00682584"/>
    <w:rsid w:val="00684FF2"/>
    <w:rsid w:val="00685D19"/>
    <w:rsid w:val="00686869"/>
    <w:rsid w:val="0068686D"/>
    <w:rsid w:val="0068698D"/>
    <w:rsid w:val="0068772A"/>
    <w:rsid w:val="00687A0B"/>
    <w:rsid w:val="006900DD"/>
    <w:rsid w:val="00690F03"/>
    <w:rsid w:val="00690F50"/>
    <w:rsid w:val="00692B31"/>
    <w:rsid w:val="0069341C"/>
    <w:rsid w:val="00693487"/>
    <w:rsid w:val="00694776"/>
    <w:rsid w:val="00694ABC"/>
    <w:rsid w:val="00695177"/>
    <w:rsid w:val="006952F5"/>
    <w:rsid w:val="00697719"/>
    <w:rsid w:val="00697F22"/>
    <w:rsid w:val="006A056C"/>
    <w:rsid w:val="006A08D2"/>
    <w:rsid w:val="006A1BFB"/>
    <w:rsid w:val="006A1D39"/>
    <w:rsid w:val="006A218F"/>
    <w:rsid w:val="006A2FE6"/>
    <w:rsid w:val="006A35B2"/>
    <w:rsid w:val="006A378B"/>
    <w:rsid w:val="006A421E"/>
    <w:rsid w:val="006A674C"/>
    <w:rsid w:val="006A6AAA"/>
    <w:rsid w:val="006A7683"/>
    <w:rsid w:val="006A76BC"/>
    <w:rsid w:val="006B017B"/>
    <w:rsid w:val="006B02AB"/>
    <w:rsid w:val="006B069A"/>
    <w:rsid w:val="006B13FC"/>
    <w:rsid w:val="006B15CE"/>
    <w:rsid w:val="006B1AD6"/>
    <w:rsid w:val="006B2565"/>
    <w:rsid w:val="006B34BB"/>
    <w:rsid w:val="006B4E1C"/>
    <w:rsid w:val="006B59A0"/>
    <w:rsid w:val="006B5B26"/>
    <w:rsid w:val="006B5CAA"/>
    <w:rsid w:val="006B5D67"/>
    <w:rsid w:val="006B6570"/>
    <w:rsid w:val="006C0CE0"/>
    <w:rsid w:val="006C1647"/>
    <w:rsid w:val="006C1784"/>
    <w:rsid w:val="006C2072"/>
    <w:rsid w:val="006C2ABA"/>
    <w:rsid w:val="006C34B9"/>
    <w:rsid w:val="006C3DC0"/>
    <w:rsid w:val="006C454F"/>
    <w:rsid w:val="006C48BB"/>
    <w:rsid w:val="006C5021"/>
    <w:rsid w:val="006C5C73"/>
    <w:rsid w:val="006C6499"/>
    <w:rsid w:val="006C7ECB"/>
    <w:rsid w:val="006D05FA"/>
    <w:rsid w:val="006D0CE1"/>
    <w:rsid w:val="006D117A"/>
    <w:rsid w:val="006D174B"/>
    <w:rsid w:val="006D1AE6"/>
    <w:rsid w:val="006D3B57"/>
    <w:rsid w:val="006D4CC9"/>
    <w:rsid w:val="006D54D9"/>
    <w:rsid w:val="006D5524"/>
    <w:rsid w:val="006D5FFD"/>
    <w:rsid w:val="006D61F7"/>
    <w:rsid w:val="006D63DC"/>
    <w:rsid w:val="006D65E8"/>
    <w:rsid w:val="006D7BAE"/>
    <w:rsid w:val="006E1207"/>
    <w:rsid w:val="006E13AB"/>
    <w:rsid w:val="006E1DCF"/>
    <w:rsid w:val="006E20DE"/>
    <w:rsid w:val="006E211F"/>
    <w:rsid w:val="006E2516"/>
    <w:rsid w:val="006E2847"/>
    <w:rsid w:val="006E3054"/>
    <w:rsid w:val="006E3D15"/>
    <w:rsid w:val="006E3DFE"/>
    <w:rsid w:val="006E3FCB"/>
    <w:rsid w:val="006E5789"/>
    <w:rsid w:val="006E57D2"/>
    <w:rsid w:val="006E5B03"/>
    <w:rsid w:val="006E61B7"/>
    <w:rsid w:val="006E6632"/>
    <w:rsid w:val="006E6C65"/>
    <w:rsid w:val="006E6E88"/>
    <w:rsid w:val="006E6F89"/>
    <w:rsid w:val="006E749A"/>
    <w:rsid w:val="006F0E5A"/>
    <w:rsid w:val="006F1862"/>
    <w:rsid w:val="006F42AC"/>
    <w:rsid w:val="006F543F"/>
    <w:rsid w:val="006F7AB5"/>
    <w:rsid w:val="006F7F9E"/>
    <w:rsid w:val="007012E9"/>
    <w:rsid w:val="00701E2D"/>
    <w:rsid w:val="00702985"/>
    <w:rsid w:val="007029E2"/>
    <w:rsid w:val="00702D17"/>
    <w:rsid w:val="00703229"/>
    <w:rsid w:val="00703704"/>
    <w:rsid w:val="00703FBD"/>
    <w:rsid w:val="00705125"/>
    <w:rsid w:val="0070532D"/>
    <w:rsid w:val="00705DF3"/>
    <w:rsid w:val="00705EC9"/>
    <w:rsid w:val="007067C8"/>
    <w:rsid w:val="00706801"/>
    <w:rsid w:val="00706985"/>
    <w:rsid w:val="007076C2"/>
    <w:rsid w:val="0071062D"/>
    <w:rsid w:val="007110C5"/>
    <w:rsid w:val="007115B5"/>
    <w:rsid w:val="007120A6"/>
    <w:rsid w:val="00712239"/>
    <w:rsid w:val="00712914"/>
    <w:rsid w:val="0071465F"/>
    <w:rsid w:val="00714FC1"/>
    <w:rsid w:val="0071565C"/>
    <w:rsid w:val="0071588C"/>
    <w:rsid w:val="007158E3"/>
    <w:rsid w:val="00716AAE"/>
    <w:rsid w:val="00717697"/>
    <w:rsid w:val="007176C6"/>
    <w:rsid w:val="0072070E"/>
    <w:rsid w:val="00721169"/>
    <w:rsid w:val="00721215"/>
    <w:rsid w:val="00721507"/>
    <w:rsid w:val="007218CC"/>
    <w:rsid w:val="00723201"/>
    <w:rsid w:val="00723326"/>
    <w:rsid w:val="007242D9"/>
    <w:rsid w:val="00724329"/>
    <w:rsid w:val="0072438B"/>
    <w:rsid w:val="0072495B"/>
    <w:rsid w:val="00724A59"/>
    <w:rsid w:val="00725156"/>
    <w:rsid w:val="007253AD"/>
    <w:rsid w:val="007265A3"/>
    <w:rsid w:val="00726A8A"/>
    <w:rsid w:val="00726E98"/>
    <w:rsid w:val="007273AB"/>
    <w:rsid w:val="007273C2"/>
    <w:rsid w:val="00730181"/>
    <w:rsid w:val="00731ECD"/>
    <w:rsid w:val="0073267E"/>
    <w:rsid w:val="00732BCF"/>
    <w:rsid w:val="0073464C"/>
    <w:rsid w:val="00734959"/>
    <w:rsid w:val="00735287"/>
    <w:rsid w:val="0073643D"/>
    <w:rsid w:val="0073680F"/>
    <w:rsid w:val="00736AED"/>
    <w:rsid w:val="00737036"/>
    <w:rsid w:val="007406B9"/>
    <w:rsid w:val="00741662"/>
    <w:rsid w:val="0074235B"/>
    <w:rsid w:val="00742642"/>
    <w:rsid w:val="00743771"/>
    <w:rsid w:val="0074539F"/>
    <w:rsid w:val="007454BE"/>
    <w:rsid w:val="007458BE"/>
    <w:rsid w:val="007468E6"/>
    <w:rsid w:val="00746BAD"/>
    <w:rsid w:val="00747566"/>
    <w:rsid w:val="007503C2"/>
    <w:rsid w:val="00750904"/>
    <w:rsid w:val="0075157C"/>
    <w:rsid w:val="00752293"/>
    <w:rsid w:val="00754919"/>
    <w:rsid w:val="00754DC4"/>
    <w:rsid w:val="007554CF"/>
    <w:rsid w:val="007557A9"/>
    <w:rsid w:val="00755B9B"/>
    <w:rsid w:val="00756A41"/>
    <w:rsid w:val="00757204"/>
    <w:rsid w:val="00757F0C"/>
    <w:rsid w:val="0076007F"/>
    <w:rsid w:val="0076089D"/>
    <w:rsid w:val="00761D20"/>
    <w:rsid w:val="00761D63"/>
    <w:rsid w:val="0076222C"/>
    <w:rsid w:val="00762B17"/>
    <w:rsid w:val="00763485"/>
    <w:rsid w:val="007645E1"/>
    <w:rsid w:val="00764E20"/>
    <w:rsid w:val="00764E6A"/>
    <w:rsid w:val="00766184"/>
    <w:rsid w:val="00766643"/>
    <w:rsid w:val="0076760C"/>
    <w:rsid w:val="00767793"/>
    <w:rsid w:val="00767E56"/>
    <w:rsid w:val="00772AEA"/>
    <w:rsid w:val="00772FA1"/>
    <w:rsid w:val="00773F71"/>
    <w:rsid w:val="00774795"/>
    <w:rsid w:val="007749EF"/>
    <w:rsid w:val="00774C32"/>
    <w:rsid w:val="007755D2"/>
    <w:rsid w:val="007758D5"/>
    <w:rsid w:val="00775961"/>
    <w:rsid w:val="00776C25"/>
    <w:rsid w:val="00776C82"/>
    <w:rsid w:val="00776CE7"/>
    <w:rsid w:val="00777C1C"/>
    <w:rsid w:val="00777D8A"/>
    <w:rsid w:val="00777F26"/>
    <w:rsid w:val="00777F7F"/>
    <w:rsid w:val="007800CF"/>
    <w:rsid w:val="007804CE"/>
    <w:rsid w:val="007807F6"/>
    <w:rsid w:val="00781320"/>
    <w:rsid w:val="00781624"/>
    <w:rsid w:val="007823F2"/>
    <w:rsid w:val="00782D2A"/>
    <w:rsid w:val="00783943"/>
    <w:rsid w:val="00783D58"/>
    <w:rsid w:val="00784864"/>
    <w:rsid w:val="00785E18"/>
    <w:rsid w:val="00786028"/>
    <w:rsid w:val="007870D5"/>
    <w:rsid w:val="00787B1F"/>
    <w:rsid w:val="00787C96"/>
    <w:rsid w:val="0079022C"/>
    <w:rsid w:val="00791BD9"/>
    <w:rsid w:val="007924E5"/>
    <w:rsid w:val="007927FE"/>
    <w:rsid w:val="00793476"/>
    <w:rsid w:val="007935F6"/>
    <w:rsid w:val="007939A1"/>
    <w:rsid w:val="00793C9B"/>
    <w:rsid w:val="00793CAB"/>
    <w:rsid w:val="00793ED8"/>
    <w:rsid w:val="00795135"/>
    <w:rsid w:val="007961B4"/>
    <w:rsid w:val="0079737D"/>
    <w:rsid w:val="00797CDA"/>
    <w:rsid w:val="00797D81"/>
    <w:rsid w:val="007A2463"/>
    <w:rsid w:val="007A2541"/>
    <w:rsid w:val="007A255D"/>
    <w:rsid w:val="007A359D"/>
    <w:rsid w:val="007A36D2"/>
    <w:rsid w:val="007A3F95"/>
    <w:rsid w:val="007A50CD"/>
    <w:rsid w:val="007A57C7"/>
    <w:rsid w:val="007A60A0"/>
    <w:rsid w:val="007A638E"/>
    <w:rsid w:val="007A63D9"/>
    <w:rsid w:val="007A7024"/>
    <w:rsid w:val="007A7A35"/>
    <w:rsid w:val="007A7A4C"/>
    <w:rsid w:val="007A7AC7"/>
    <w:rsid w:val="007B02E2"/>
    <w:rsid w:val="007B0E25"/>
    <w:rsid w:val="007B1185"/>
    <w:rsid w:val="007B17D0"/>
    <w:rsid w:val="007B201B"/>
    <w:rsid w:val="007B2EC8"/>
    <w:rsid w:val="007B3B8B"/>
    <w:rsid w:val="007B3CCC"/>
    <w:rsid w:val="007C02AE"/>
    <w:rsid w:val="007C05D8"/>
    <w:rsid w:val="007C2625"/>
    <w:rsid w:val="007C34BC"/>
    <w:rsid w:val="007C40A4"/>
    <w:rsid w:val="007C5580"/>
    <w:rsid w:val="007C5B5B"/>
    <w:rsid w:val="007C5C6F"/>
    <w:rsid w:val="007C621D"/>
    <w:rsid w:val="007C6380"/>
    <w:rsid w:val="007C63DB"/>
    <w:rsid w:val="007C69B6"/>
    <w:rsid w:val="007C6E1A"/>
    <w:rsid w:val="007C79C0"/>
    <w:rsid w:val="007D00DF"/>
    <w:rsid w:val="007D0802"/>
    <w:rsid w:val="007D0DD0"/>
    <w:rsid w:val="007D2228"/>
    <w:rsid w:val="007D2A1B"/>
    <w:rsid w:val="007D341F"/>
    <w:rsid w:val="007D4408"/>
    <w:rsid w:val="007D4EE8"/>
    <w:rsid w:val="007D5A3F"/>
    <w:rsid w:val="007D5D01"/>
    <w:rsid w:val="007D5D51"/>
    <w:rsid w:val="007D6216"/>
    <w:rsid w:val="007D69AB"/>
    <w:rsid w:val="007D6E33"/>
    <w:rsid w:val="007E0400"/>
    <w:rsid w:val="007E12DD"/>
    <w:rsid w:val="007E282B"/>
    <w:rsid w:val="007E4F7B"/>
    <w:rsid w:val="007E594D"/>
    <w:rsid w:val="007E5965"/>
    <w:rsid w:val="007E5B82"/>
    <w:rsid w:val="007E7A85"/>
    <w:rsid w:val="007E7BEB"/>
    <w:rsid w:val="007F05E1"/>
    <w:rsid w:val="007F0BB7"/>
    <w:rsid w:val="007F0D55"/>
    <w:rsid w:val="007F1386"/>
    <w:rsid w:val="007F2AA8"/>
    <w:rsid w:val="007F30B0"/>
    <w:rsid w:val="007F6C5E"/>
    <w:rsid w:val="007F7AF5"/>
    <w:rsid w:val="008011ED"/>
    <w:rsid w:val="008011F5"/>
    <w:rsid w:val="008014B5"/>
    <w:rsid w:val="00801D7B"/>
    <w:rsid w:val="00802089"/>
    <w:rsid w:val="00802234"/>
    <w:rsid w:val="0080268D"/>
    <w:rsid w:val="008028E7"/>
    <w:rsid w:val="00802BB6"/>
    <w:rsid w:val="00802FBB"/>
    <w:rsid w:val="00803D02"/>
    <w:rsid w:val="0080484B"/>
    <w:rsid w:val="008049D5"/>
    <w:rsid w:val="00804EC6"/>
    <w:rsid w:val="008110E7"/>
    <w:rsid w:val="00812D02"/>
    <w:rsid w:val="00812D1C"/>
    <w:rsid w:val="00813249"/>
    <w:rsid w:val="008165F5"/>
    <w:rsid w:val="00820C39"/>
    <w:rsid w:val="00820E5A"/>
    <w:rsid w:val="00820F08"/>
    <w:rsid w:val="00821D76"/>
    <w:rsid w:val="00822F76"/>
    <w:rsid w:val="0082360E"/>
    <w:rsid w:val="008237D9"/>
    <w:rsid w:val="00824B0A"/>
    <w:rsid w:val="00824C5B"/>
    <w:rsid w:val="00824D15"/>
    <w:rsid w:val="00825048"/>
    <w:rsid w:val="00825587"/>
    <w:rsid w:val="00825BB7"/>
    <w:rsid w:val="00826113"/>
    <w:rsid w:val="008275D4"/>
    <w:rsid w:val="00827926"/>
    <w:rsid w:val="00827ACC"/>
    <w:rsid w:val="00827C26"/>
    <w:rsid w:val="00827EDD"/>
    <w:rsid w:val="008302B9"/>
    <w:rsid w:val="0083057A"/>
    <w:rsid w:val="00831E02"/>
    <w:rsid w:val="008321CB"/>
    <w:rsid w:val="00833156"/>
    <w:rsid w:val="00833305"/>
    <w:rsid w:val="008333CB"/>
    <w:rsid w:val="008333DE"/>
    <w:rsid w:val="00833936"/>
    <w:rsid w:val="008346D6"/>
    <w:rsid w:val="00835799"/>
    <w:rsid w:val="00835EC2"/>
    <w:rsid w:val="00836F15"/>
    <w:rsid w:val="008379A9"/>
    <w:rsid w:val="0084003D"/>
    <w:rsid w:val="00840200"/>
    <w:rsid w:val="0084034D"/>
    <w:rsid w:val="008403D3"/>
    <w:rsid w:val="0084047C"/>
    <w:rsid w:val="00840D54"/>
    <w:rsid w:val="00841460"/>
    <w:rsid w:val="008416D7"/>
    <w:rsid w:val="00842BBA"/>
    <w:rsid w:val="0084366A"/>
    <w:rsid w:val="0084383E"/>
    <w:rsid w:val="00844256"/>
    <w:rsid w:val="00845076"/>
    <w:rsid w:val="008456A3"/>
    <w:rsid w:val="00846E50"/>
    <w:rsid w:val="0084746C"/>
    <w:rsid w:val="00847CDE"/>
    <w:rsid w:val="00847D70"/>
    <w:rsid w:val="00850AE4"/>
    <w:rsid w:val="008518F4"/>
    <w:rsid w:val="00852C4E"/>
    <w:rsid w:val="00854EE1"/>
    <w:rsid w:val="008553FF"/>
    <w:rsid w:val="00855A4B"/>
    <w:rsid w:val="00856DBF"/>
    <w:rsid w:val="008575CD"/>
    <w:rsid w:val="00861007"/>
    <w:rsid w:val="008612A6"/>
    <w:rsid w:val="00863763"/>
    <w:rsid w:val="008639F3"/>
    <w:rsid w:val="00863C2F"/>
    <w:rsid w:val="00863C79"/>
    <w:rsid w:val="0086456B"/>
    <w:rsid w:val="008648A6"/>
    <w:rsid w:val="008651CF"/>
    <w:rsid w:val="008669BF"/>
    <w:rsid w:val="008672B2"/>
    <w:rsid w:val="0086745F"/>
    <w:rsid w:val="008676CE"/>
    <w:rsid w:val="00870C8C"/>
    <w:rsid w:val="00870F84"/>
    <w:rsid w:val="0087103F"/>
    <w:rsid w:val="008719B6"/>
    <w:rsid w:val="00873CB9"/>
    <w:rsid w:val="00873E4A"/>
    <w:rsid w:val="008741E6"/>
    <w:rsid w:val="008743F0"/>
    <w:rsid w:val="0087568E"/>
    <w:rsid w:val="00876E82"/>
    <w:rsid w:val="00877A3E"/>
    <w:rsid w:val="0088030C"/>
    <w:rsid w:val="00880C53"/>
    <w:rsid w:val="00880CD4"/>
    <w:rsid w:val="00881418"/>
    <w:rsid w:val="008817A9"/>
    <w:rsid w:val="008817F4"/>
    <w:rsid w:val="00881F92"/>
    <w:rsid w:val="00882526"/>
    <w:rsid w:val="00882D0A"/>
    <w:rsid w:val="00883337"/>
    <w:rsid w:val="00883DD1"/>
    <w:rsid w:val="00884819"/>
    <w:rsid w:val="008849B4"/>
    <w:rsid w:val="008854EE"/>
    <w:rsid w:val="00885C78"/>
    <w:rsid w:val="00885CE4"/>
    <w:rsid w:val="0088793F"/>
    <w:rsid w:val="008906E6"/>
    <w:rsid w:val="0089115F"/>
    <w:rsid w:val="0089140A"/>
    <w:rsid w:val="00892678"/>
    <w:rsid w:val="0089268E"/>
    <w:rsid w:val="0089466E"/>
    <w:rsid w:val="008955F0"/>
    <w:rsid w:val="00896D2F"/>
    <w:rsid w:val="00897485"/>
    <w:rsid w:val="00897A78"/>
    <w:rsid w:val="00897AEF"/>
    <w:rsid w:val="008A0030"/>
    <w:rsid w:val="008A051D"/>
    <w:rsid w:val="008A0B28"/>
    <w:rsid w:val="008A1CD7"/>
    <w:rsid w:val="008A249C"/>
    <w:rsid w:val="008A34FB"/>
    <w:rsid w:val="008A3B30"/>
    <w:rsid w:val="008A3D36"/>
    <w:rsid w:val="008A5DE1"/>
    <w:rsid w:val="008A6229"/>
    <w:rsid w:val="008A6EBB"/>
    <w:rsid w:val="008A7882"/>
    <w:rsid w:val="008B03A3"/>
    <w:rsid w:val="008B0CB9"/>
    <w:rsid w:val="008B119A"/>
    <w:rsid w:val="008B259C"/>
    <w:rsid w:val="008B2C2E"/>
    <w:rsid w:val="008B2F75"/>
    <w:rsid w:val="008B3D75"/>
    <w:rsid w:val="008B414B"/>
    <w:rsid w:val="008B49D7"/>
    <w:rsid w:val="008B7253"/>
    <w:rsid w:val="008C0CCF"/>
    <w:rsid w:val="008C1432"/>
    <w:rsid w:val="008C17C3"/>
    <w:rsid w:val="008C2054"/>
    <w:rsid w:val="008C23C4"/>
    <w:rsid w:val="008C23EA"/>
    <w:rsid w:val="008C254D"/>
    <w:rsid w:val="008C272C"/>
    <w:rsid w:val="008C2875"/>
    <w:rsid w:val="008C2A0B"/>
    <w:rsid w:val="008C2B4B"/>
    <w:rsid w:val="008C2C78"/>
    <w:rsid w:val="008C30D1"/>
    <w:rsid w:val="008C4E93"/>
    <w:rsid w:val="008C681B"/>
    <w:rsid w:val="008C6EEA"/>
    <w:rsid w:val="008C7535"/>
    <w:rsid w:val="008C7E05"/>
    <w:rsid w:val="008D03D0"/>
    <w:rsid w:val="008D3A68"/>
    <w:rsid w:val="008D629D"/>
    <w:rsid w:val="008D6691"/>
    <w:rsid w:val="008D6709"/>
    <w:rsid w:val="008D7141"/>
    <w:rsid w:val="008D7B97"/>
    <w:rsid w:val="008D7EAE"/>
    <w:rsid w:val="008E1452"/>
    <w:rsid w:val="008E1507"/>
    <w:rsid w:val="008E3429"/>
    <w:rsid w:val="008E34B2"/>
    <w:rsid w:val="008E3C7F"/>
    <w:rsid w:val="008E5226"/>
    <w:rsid w:val="008E54AB"/>
    <w:rsid w:val="008E573C"/>
    <w:rsid w:val="008E6A83"/>
    <w:rsid w:val="008E7CEA"/>
    <w:rsid w:val="008F0B4F"/>
    <w:rsid w:val="008F0E6F"/>
    <w:rsid w:val="008F13CA"/>
    <w:rsid w:val="008F1B20"/>
    <w:rsid w:val="008F22F7"/>
    <w:rsid w:val="008F23C0"/>
    <w:rsid w:val="008F2422"/>
    <w:rsid w:val="008F3152"/>
    <w:rsid w:val="008F3B62"/>
    <w:rsid w:val="008F4969"/>
    <w:rsid w:val="008F519B"/>
    <w:rsid w:val="008F55CF"/>
    <w:rsid w:val="008F5807"/>
    <w:rsid w:val="008F7222"/>
    <w:rsid w:val="008F7303"/>
    <w:rsid w:val="008F7659"/>
    <w:rsid w:val="008F7742"/>
    <w:rsid w:val="009026A1"/>
    <w:rsid w:val="009026F2"/>
    <w:rsid w:val="009042E6"/>
    <w:rsid w:val="009043A1"/>
    <w:rsid w:val="009058C0"/>
    <w:rsid w:val="00905DBE"/>
    <w:rsid w:val="00906A18"/>
    <w:rsid w:val="00907A61"/>
    <w:rsid w:val="00907ED1"/>
    <w:rsid w:val="00910602"/>
    <w:rsid w:val="00910691"/>
    <w:rsid w:val="00911717"/>
    <w:rsid w:val="00911E97"/>
    <w:rsid w:val="00911F08"/>
    <w:rsid w:val="00912083"/>
    <w:rsid w:val="00912129"/>
    <w:rsid w:val="0091227E"/>
    <w:rsid w:val="00912574"/>
    <w:rsid w:val="009130DD"/>
    <w:rsid w:val="009148B3"/>
    <w:rsid w:val="00914C90"/>
    <w:rsid w:val="00915735"/>
    <w:rsid w:val="00915B6B"/>
    <w:rsid w:val="00916455"/>
    <w:rsid w:val="0091771E"/>
    <w:rsid w:val="0091771F"/>
    <w:rsid w:val="009205F0"/>
    <w:rsid w:val="00920CF0"/>
    <w:rsid w:val="00921131"/>
    <w:rsid w:val="00921EAA"/>
    <w:rsid w:val="00922E4F"/>
    <w:rsid w:val="00923238"/>
    <w:rsid w:val="00923CD9"/>
    <w:rsid w:val="00925A0A"/>
    <w:rsid w:val="00925CB4"/>
    <w:rsid w:val="00926808"/>
    <w:rsid w:val="00926832"/>
    <w:rsid w:val="00926928"/>
    <w:rsid w:val="0092764E"/>
    <w:rsid w:val="00930E4C"/>
    <w:rsid w:val="009313A8"/>
    <w:rsid w:val="00932C5A"/>
    <w:rsid w:val="00932C94"/>
    <w:rsid w:val="00933364"/>
    <w:rsid w:val="009345A3"/>
    <w:rsid w:val="00934D4A"/>
    <w:rsid w:val="00934F57"/>
    <w:rsid w:val="009362C9"/>
    <w:rsid w:val="00937138"/>
    <w:rsid w:val="00937544"/>
    <w:rsid w:val="009377D5"/>
    <w:rsid w:val="00937B11"/>
    <w:rsid w:val="00937E8A"/>
    <w:rsid w:val="00941257"/>
    <w:rsid w:val="00943EE3"/>
    <w:rsid w:val="00944D3C"/>
    <w:rsid w:val="00944FC6"/>
    <w:rsid w:val="00945E3A"/>
    <w:rsid w:val="00946366"/>
    <w:rsid w:val="009464E8"/>
    <w:rsid w:val="00946A82"/>
    <w:rsid w:val="00947198"/>
    <w:rsid w:val="00947471"/>
    <w:rsid w:val="00950C07"/>
    <w:rsid w:val="00950F88"/>
    <w:rsid w:val="00951228"/>
    <w:rsid w:val="009512E5"/>
    <w:rsid w:val="009513AD"/>
    <w:rsid w:val="0095142D"/>
    <w:rsid w:val="00952222"/>
    <w:rsid w:val="00953838"/>
    <w:rsid w:val="00953F3E"/>
    <w:rsid w:val="0095414F"/>
    <w:rsid w:val="00954411"/>
    <w:rsid w:val="00954C6B"/>
    <w:rsid w:val="00954E76"/>
    <w:rsid w:val="009560B2"/>
    <w:rsid w:val="0095632A"/>
    <w:rsid w:val="00956438"/>
    <w:rsid w:val="00956630"/>
    <w:rsid w:val="009567B2"/>
    <w:rsid w:val="009576C2"/>
    <w:rsid w:val="00957901"/>
    <w:rsid w:val="009600A0"/>
    <w:rsid w:val="0096024F"/>
    <w:rsid w:val="009606E7"/>
    <w:rsid w:val="00961590"/>
    <w:rsid w:val="00961EC8"/>
    <w:rsid w:val="009621DD"/>
    <w:rsid w:val="00962342"/>
    <w:rsid w:val="009626F4"/>
    <w:rsid w:val="00962703"/>
    <w:rsid w:val="00962987"/>
    <w:rsid w:val="00964137"/>
    <w:rsid w:val="00964AB1"/>
    <w:rsid w:val="009675AA"/>
    <w:rsid w:val="0096765A"/>
    <w:rsid w:val="00970D2D"/>
    <w:rsid w:val="00970EC0"/>
    <w:rsid w:val="0097118C"/>
    <w:rsid w:val="009713E0"/>
    <w:rsid w:val="009718EF"/>
    <w:rsid w:val="00971CC6"/>
    <w:rsid w:val="00972C11"/>
    <w:rsid w:val="00972D24"/>
    <w:rsid w:val="0097312C"/>
    <w:rsid w:val="00974455"/>
    <w:rsid w:val="00974C33"/>
    <w:rsid w:val="00975A14"/>
    <w:rsid w:val="00976896"/>
    <w:rsid w:val="0097764A"/>
    <w:rsid w:val="00977D14"/>
    <w:rsid w:val="0098184D"/>
    <w:rsid w:val="00981CC2"/>
    <w:rsid w:val="00981DBA"/>
    <w:rsid w:val="00981F5B"/>
    <w:rsid w:val="00982F4E"/>
    <w:rsid w:val="00983073"/>
    <w:rsid w:val="00983BE0"/>
    <w:rsid w:val="00984227"/>
    <w:rsid w:val="009846C6"/>
    <w:rsid w:val="00984BC9"/>
    <w:rsid w:val="00984FB7"/>
    <w:rsid w:val="009851BA"/>
    <w:rsid w:val="00985A9C"/>
    <w:rsid w:val="00985F22"/>
    <w:rsid w:val="00985F3F"/>
    <w:rsid w:val="00986C47"/>
    <w:rsid w:val="009870F1"/>
    <w:rsid w:val="009872F3"/>
    <w:rsid w:val="009874ED"/>
    <w:rsid w:val="00987A40"/>
    <w:rsid w:val="0099034B"/>
    <w:rsid w:val="009906F0"/>
    <w:rsid w:val="00991C38"/>
    <w:rsid w:val="00991FF3"/>
    <w:rsid w:val="0099258E"/>
    <w:rsid w:val="00992EA8"/>
    <w:rsid w:val="00992FF1"/>
    <w:rsid w:val="009930B9"/>
    <w:rsid w:val="00993328"/>
    <w:rsid w:val="009940C6"/>
    <w:rsid w:val="0099419F"/>
    <w:rsid w:val="00996F3A"/>
    <w:rsid w:val="009975CA"/>
    <w:rsid w:val="00997881"/>
    <w:rsid w:val="009A22ED"/>
    <w:rsid w:val="009A4282"/>
    <w:rsid w:val="009A49F0"/>
    <w:rsid w:val="009A4D96"/>
    <w:rsid w:val="009A5065"/>
    <w:rsid w:val="009A53E3"/>
    <w:rsid w:val="009A6699"/>
    <w:rsid w:val="009B0A03"/>
    <w:rsid w:val="009B14EF"/>
    <w:rsid w:val="009B1647"/>
    <w:rsid w:val="009B182C"/>
    <w:rsid w:val="009B18C2"/>
    <w:rsid w:val="009B1BAB"/>
    <w:rsid w:val="009B4D8B"/>
    <w:rsid w:val="009B5DDB"/>
    <w:rsid w:val="009B6451"/>
    <w:rsid w:val="009B6E70"/>
    <w:rsid w:val="009B72C8"/>
    <w:rsid w:val="009B7362"/>
    <w:rsid w:val="009B7471"/>
    <w:rsid w:val="009C1323"/>
    <w:rsid w:val="009C13AD"/>
    <w:rsid w:val="009C1689"/>
    <w:rsid w:val="009C1F88"/>
    <w:rsid w:val="009C21C0"/>
    <w:rsid w:val="009C38D5"/>
    <w:rsid w:val="009C3EAE"/>
    <w:rsid w:val="009C4F1C"/>
    <w:rsid w:val="009C5B69"/>
    <w:rsid w:val="009C5BD3"/>
    <w:rsid w:val="009C6380"/>
    <w:rsid w:val="009C64BA"/>
    <w:rsid w:val="009C6E88"/>
    <w:rsid w:val="009C7A3C"/>
    <w:rsid w:val="009C7F4D"/>
    <w:rsid w:val="009D0F2A"/>
    <w:rsid w:val="009D10C6"/>
    <w:rsid w:val="009D17E2"/>
    <w:rsid w:val="009D1D77"/>
    <w:rsid w:val="009D2411"/>
    <w:rsid w:val="009D2EB8"/>
    <w:rsid w:val="009D3B9E"/>
    <w:rsid w:val="009D3D23"/>
    <w:rsid w:val="009D3D75"/>
    <w:rsid w:val="009D3D92"/>
    <w:rsid w:val="009D48ED"/>
    <w:rsid w:val="009D5E4B"/>
    <w:rsid w:val="009E0285"/>
    <w:rsid w:val="009E0BEB"/>
    <w:rsid w:val="009E0DF0"/>
    <w:rsid w:val="009E2387"/>
    <w:rsid w:val="009E262F"/>
    <w:rsid w:val="009E2AA2"/>
    <w:rsid w:val="009E4979"/>
    <w:rsid w:val="009E4C10"/>
    <w:rsid w:val="009E5A83"/>
    <w:rsid w:val="009E62CB"/>
    <w:rsid w:val="009E6319"/>
    <w:rsid w:val="009E6900"/>
    <w:rsid w:val="009E6ED1"/>
    <w:rsid w:val="009E7D09"/>
    <w:rsid w:val="009F012B"/>
    <w:rsid w:val="009F06E5"/>
    <w:rsid w:val="009F190D"/>
    <w:rsid w:val="009F1D61"/>
    <w:rsid w:val="009F3229"/>
    <w:rsid w:val="009F3678"/>
    <w:rsid w:val="009F3ACD"/>
    <w:rsid w:val="009F50FF"/>
    <w:rsid w:val="009F532F"/>
    <w:rsid w:val="009F5CAF"/>
    <w:rsid w:val="009F6110"/>
    <w:rsid w:val="009F6149"/>
    <w:rsid w:val="009F6B26"/>
    <w:rsid w:val="009F6D94"/>
    <w:rsid w:val="009F7615"/>
    <w:rsid w:val="009F7D17"/>
    <w:rsid w:val="009F7F0C"/>
    <w:rsid w:val="00A001DE"/>
    <w:rsid w:val="00A00B6E"/>
    <w:rsid w:val="00A011ED"/>
    <w:rsid w:val="00A01D84"/>
    <w:rsid w:val="00A01E10"/>
    <w:rsid w:val="00A024A2"/>
    <w:rsid w:val="00A024A8"/>
    <w:rsid w:val="00A026A1"/>
    <w:rsid w:val="00A039F9"/>
    <w:rsid w:val="00A04428"/>
    <w:rsid w:val="00A04645"/>
    <w:rsid w:val="00A11248"/>
    <w:rsid w:val="00A115F5"/>
    <w:rsid w:val="00A12CCC"/>
    <w:rsid w:val="00A1310F"/>
    <w:rsid w:val="00A13BCC"/>
    <w:rsid w:val="00A153DD"/>
    <w:rsid w:val="00A1551D"/>
    <w:rsid w:val="00A16FB2"/>
    <w:rsid w:val="00A20734"/>
    <w:rsid w:val="00A227E0"/>
    <w:rsid w:val="00A22E02"/>
    <w:rsid w:val="00A231B6"/>
    <w:rsid w:val="00A23327"/>
    <w:rsid w:val="00A242BD"/>
    <w:rsid w:val="00A243A0"/>
    <w:rsid w:val="00A24640"/>
    <w:rsid w:val="00A24E4B"/>
    <w:rsid w:val="00A25387"/>
    <w:rsid w:val="00A2601D"/>
    <w:rsid w:val="00A269CD"/>
    <w:rsid w:val="00A26DA6"/>
    <w:rsid w:val="00A27214"/>
    <w:rsid w:val="00A27789"/>
    <w:rsid w:val="00A30784"/>
    <w:rsid w:val="00A307BC"/>
    <w:rsid w:val="00A30D2E"/>
    <w:rsid w:val="00A310C7"/>
    <w:rsid w:val="00A3201A"/>
    <w:rsid w:val="00A331E4"/>
    <w:rsid w:val="00A34775"/>
    <w:rsid w:val="00A35EF9"/>
    <w:rsid w:val="00A3679A"/>
    <w:rsid w:val="00A36990"/>
    <w:rsid w:val="00A40025"/>
    <w:rsid w:val="00A411A1"/>
    <w:rsid w:val="00A4151B"/>
    <w:rsid w:val="00A419CE"/>
    <w:rsid w:val="00A41C4B"/>
    <w:rsid w:val="00A422DB"/>
    <w:rsid w:val="00A426B2"/>
    <w:rsid w:val="00A43C4C"/>
    <w:rsid w:val="00A43DB9"/>
    <w:rsid w:val="00A44737"/>
    <w:rsid w:val="00A44937"/>
    <w:rsid w:val="00A45395"/>
    <w:rsid w:val="00A4637B"/>
    <w:rsid w:val="00A473A4"/>
    <w:rsid w:val="00A4767C"/>
    <w:rsid w:val="00A5005E"/>
    <w:rsid w:val="00A51132"/>
    <w:rsid w:val="00A51A1E"/>
    <w:rsid w:val="00A520CC"/>
    <w:rsid w:val="00A52F62"/>
    <w:rsid w:val="00A53575"/>
    <w:rsid w:val="00A53702"/>
    <w:rsid w:val="00A549C9"/>
    <w:rsid w:val="00A5571C"/>
    <w:rsid w:val="00A5611E"/>
    <w:rsid w:val="00A5682B"/>
    <w:rsid w:val="00A61FE7"/>
    <w:rsid w:val="00A62A63"/>
    <w:rsid w:val="00A62C41"/>
    <w:rsid w:val="00A631CE"/>
    <w:rsid w:val="00A63A2D"/>
    <w:rsid w:val="00A63A6E"/>
    <w:rsid w:val="00A63F7E"/>
    <w:rsid w:val="00A64A54"/>
    <w:rsid w:val="00A65F4C"/>
    <w:rsid w:val="00A673FC"/>
    <w:rsid w:val="00A67D56"/>
    <w:rsid w:val="00A710D6"/>
    <w:rsid w:val="00A71CE3"/>
    <w:rsid w:val="00A72565"/>
    <w:rsid w:val="00A73D36"/>
    <w:rsid w:val="00A7472E"/>
    <w:rsid w:val="00A757E4"/>
    <w:rsid w:val="00A75877"/>
    <w:rsid w:val="00A75EA7"/>
    <w:rsid w:val="00A75F85"/>
    <w:rsid w:val="00A76C6E"/>
    <w:rsid w:val="00A76F4D"/>
    <w:rsid w:val="00A773BB"/>
    <w:rsid w:val="00A7794A"/>
    <w:rsid w:val="00A800F5"/>
    <w:rsid w:val="00A80D73"/>
    <w:rsid w:val="00A8110D"/>
    <w:rsid w:val="00A819C6"/>
    <w:rsid w:val="00A82450"/>
    <w:rsid w:val="00A826AC"/>
    <w:rsid w:val="00A828FA"/>
    <w:rsid w:val="00A8342D"/>
    <w:rsid w:val="00A84825"/>
    <w:rsid w:val="00A84BF6"/>
    <w:rsid w:val="00A84D51"/>
    <w:rsid w:val="00A853BE"/>
    <w:rsid w:val="00A8554C"/>
    <w:rsid w:val="00A913AF"/>
    <w:rsid w:val="00A9194A"/>
    <w:rsid w:val="00A925AC"/>
    <w:rsid w:val="00A948B8"/>
    <w:rsid w:val="00A94D0A"/>
    <w:rsid w:val="00A951D9"/>
    <w:rsid w:val="00A95B7F"/>
    <w:rsid w:val="00A97E03"/>
    <w:rsid w:val="00AA0341"/>
    <w:rsid w:val="00AA0EBD"/>
    <w:rsid w:val="00AA0F83"/>
    <w:rsid w:val="00AA1785"/>
    <w:rsid w:val="00AA1A44"/>
    <w:rsid w:val="00AA250A"/>
    <w:rsid w:val="00AA3359"/>
    <w:rsid w:val="00AA3427"/>
    <w:rsid w:val="00AA3461"/>
    <w:rsid w:val="00AA4693"/>
    <w:rsid w:val="00AA54BE"/>
    <w:rsid w:val="00AA5C48"/>
    <w:rsid w:val="00AA63DD"/>
    <w:rsid w:val="00AA642D"/>
    <w:rsid w:val="00AA6E3C"/>
    <w:rsid w:val="00AA72B2"/>
    <w:rsid w:val="00AA7B4A"/>
    <w:rsid w:val="00AB017B"/>
    <w:rsid w:val="00AB02B8"/>
    <w:rsid w:val="00AB0AF5"/>
    <w:rsid w:val="00AB0C36"/>
    <w:rsid w:val="00AB193D"/>
    <w:rsid w:val="00AB312E"/>
    <w:rsid w:val="00AB52E1"/>
    <w:rsid w:val="00AB5375"/>
    <w:rsid w:val="00AB6DC0"/>
    <w:rsid w:val="00AB702D"/>
    <w:rsid w:val="00AB7758"/>
    <w:rsid w:val="00AB7CEE"/>
    <w:rsid w:val="00AB7D7D"/>
    <w:rsid w:val="00AC12E6"/>
    <w:rsid w:val="00AC1E18"/>
    <w:rsid w:val="00AC27DD"/>
    <w:rsid w:val="00AC2846"/>
    <w:rsid w:val="00AC323E"/>
    <w:rsid w:val="00AC3C32"/>
    <w:rsid w:val="00AC3EC0"/>
    <w:rsid w:val="00AC52C1"/>
    <w:rsid w:val="00AC68EE"/>
    <w:rsid w:val="00AC6C67"/>
    <w:rsid w:val="00AC7218"/>
    <w:rsid w:val="00AD1F4E"/>
    <w:rsid w:val="00AD2C02"/>
    <w:rsid w:val="00AD3645"/>
    <w:rsid w:val="00AD3745"/>
    <w:rsid w:val="00AD4EF5"/>
    <w:rsid w:val="00AD5016"/>
    <w:rsid w:val="00AD639C"/>
    <w:rsid w:val="00AD74E7"/>
    <w:rsid w:val="00AD75AF"/>
    <w:rsid w:val="00AD7CA7"/>
    <w:rsid w:val="00AD7E48"/>
    <w:rsid w:val="00AE153A"/>
    <w:rsid w:val="00AE1BF2"/>
    <w:rsid w:val="00AE2902"/>
    <w:rsid w:val="00AE2ACE"/>
    <w:rsid w:val="00AE2DAF"/>
    <w:rsid w:val="00AE3002"/>
    <w:rsid w:val="00AE3CC8"/>
    <w:rsid w:val="00AE567E"/>
    <w:rsid w:val="00AE5A4F"/>
    <w:rsid w:val="00AE62DC"/>
    <w:rsid w:val="00AE6577"/>
    <w:rsid w:val="00AF0356"/>
    <w:rsid w:val="00AF2E1B"/>
    <w:rsid w:val="00AF4425"/>
    <w:rsid w:val="00AF4BA0"/>
    <w:rsid w:val="00AF63C5"/>
    <w:rsid w:val="00AF676B"/>
    <w:rsid w:val="00AF6815"/>
    <w:rsid w:val="00AF686D"/>
    <w:rsid w:val="00AF6DD8"/>
    <w:rsid w:val="00AF7523"/>
    <w:rsid w:val="00B00162"/>
    <w:rsid w:val="00B016A4"/>
    <w:rsid w:val="00B01758"/>
    <w:rsid w:val="00B0240B"/>
    <w:rsid w:val="00B0262F"/>
    <w:rsid w:val="00B02CD7"/>
    <w:rsid w:val="00B02EC3"/>
    <w:rsid w:val="00B037A6"/>
    <w:rsid w:val="00B05DD5"/>
    <w:rsid w:val="00B0683A"/>
    <w:rsid w:val="00B0713F"/>
    <w:rsid w:val="00B0753E"/>
    <w:rsid w:val="00B07B98"/>
    <w:rsid w:val="00B10986"/>
    <w:rsid w:val="00B1101B"/>
    <w:rsid w:val="00B11149"/>
    <w:rsid w:val="00B13D3A"/>
    <w:rsid w:val="00B151D1"/>
    <w:rsid w:val="00B15582"/>
    <w:rsid w:val="00B155BC"/>
    <w:rsid w:val="00B17EEA"/>
    <w:rsid w:val="00B20360"/>
    <w:rsid w:val="00B20A44"/>
    <w:rsid w:val="00B21625"/>
    <w:rsid w:val="00B21AA0"/>
    <w:rsid w:val="00B23701"/>
    <w:rsid w:val="00B24B66"/>
    <w:rsid w:val="00B2602E"/>
    <w:rsid w:val="00B261E3"/>
    <w:rsid w:val="00B2632F"/>
    <w:rsid w:val="00B26769"/>
    <w:rsid w:val="00B26E03"/>
    <w:rsid w:val="00B2789A"/>
    <w:rsid w:val="00B303A0"/>
    <w:rsid w:val="00B30FDF"/>
    <w:rsid w:val="00B318AF"/>
    <w:rsid w:val="00B31DF3"/>
    <w:rsid w:val="00B327C5"/>
    <w:rsid w:val="00B33178"/>
    <w:rsid w:val="00B33940"/>
    <w:rsid w:val="00B33B92"/>
    <w:rsid w:val="00B33C2E"/>
    <w:rsid w:val="00B340B9"/>
    <w:rsid w:val="00B347DE"/>
    <w:rsid w:val="00B351F5"/>
    <w:rsid w:val="00B35F2B"/>
    <w:rsid w:val="00B3666B"/>
    <w:rsid w:val="00B37CF1"/>
    <w:rsid w:val="00B41921"/>
    <w:rsid w:val="00B419DB"/>
    <w:rsid w:val="00B41C8D"/>
    <w:rsid w:val="00B41F9A"/>
    <w:rsid w:val="00B42884"/>
    <w:rsid w:val="00B42B85"/>
    <w:rsid w:val="00B4499A"/>
    <w:rsid w:val="00B456AF"/>
    <w:rsid w:val="00B4590B"/>
    <w:rsid w:val="00B4659A"/>
    <w:rsid w:val="00B47509"/>
    <w:rsid w:val="00B4768C"/>
    <w:rsid w:val="00B50AC5"/>
    <w:rsid w:val="00B51159"/>
    <w:rsid w:val="00B52B3B"/>
    <w:rsid w:val="00B55575"/>
    <w:rsid w:val="00B55B13"/>
    <w:rsid w:val="00B5608E"/>
    <w:rsid w:val="00B564BF"/>
    <w:rsid w:val="00B5697D"/>
    <w:rsid w:val="00B56AC5"/>
    <w:rsid w:val="00B56D96"/>
    <w:rsid w:val="00B56E68"/>
    <w:rsid w:val="00B5732E"/>
    <w:rsid w:val="00B57C6D"/>
    <w:rsid w:val="00B607C0"/>
    <w:rsid w:val="00B610CE"/>
    <w:rsid w:val="00B615BC"/>
    <w:rsid w:val="00B61D9F"/>
    <w:rsid w:val="00B62181"/>
    <w:rsid w:val="00B64610"/>
    <w:rsid w:val="00B64FC9"/>
    <w:rsid w:val="00B66877"/>
    <w:rsid w:val="00B66A9C"/>
    <w:rsid w:val="00B66FED"/>
    <w:rsid w:val="00B731FA"/>
    <w:rsid w:val="00B731FF"/>
    <w:rsid w:val="00B73A0D"/>
    <w:rsid w:val="00B747EE"/>
    <w:rsid w:val="00B75CD1"/>
    <w:rsid w:val="00B76F5E"/>
    <w:rsid w:val="00B80B23"/>
    <w:rsid w:val="00B8202D"/>
    <w:rsid w:val="00B8301B"/>
    <w:rsid w:val="00B840B9"/>
    <w:rsid w:val="00B846E1"/>
    <w:rsid w:val="00B868BC"/>
    <w:rsid w:val="00B87775"/>
    <w:rsid w:val="00B90132"/>
    <w:rsid w:val="00B906C5"/>
    <w:rsid w:val="00B90830"/>
    <w:rsid w:val="00B924A5"/>
    <w:rsid w:val="00B93302"/>
    <w:rsid w:val="00B93532"/>
    <w:rsid w:val="00B93AF7"/>
    <w:rsid w:val="00B93CAB"/>
    <w:rsid w:val="00B95CCD"/>
    <w:rsid w:val="00B95CF3"/>
    <w:rsid w:val="00B966A5"/>
    <w:rsid w:val="00B9747A"/>
    <w:rsid w:val="00B9798E"/>
    <w:rsid w:val="00BA049F"/>
    <w:rsid w:val="00BA1177"/>
    <w:rsid w:val="00BA11E5"/>
    <w:rsid w:val="00BA1814"/>
    <w:rsid w:val="00BA283A"/>
    <w:rsid w:val="00BA296F"/>
    <w:rsid w:val="00BA316E"/>
    <w:rsid w:val="00BA32C1"/>
    <w:rsid w:val="00BA3CB9"/>
    <w:rsid w:val="00BA4AA2"/>
    <w:rsid w:val="00BA52D0"/>
    <w:rsid w:val="00BA5760"/>
    <w:rsid w:val="00BA7F79"/>
    <w:rsid w:val="00BB1CCB"/>
    <w:rsid w:val="00BB1DED"/>
    <w:rsid w:val="00BB2781"/>
    <w:rsid w:val="00BB280F"/>
    <w:rsid w:val="00BB2BBF"/>
    <w:rsid w:val="00BB2EE2"/>
    <w:rsid w:val="00BB50C1"/>
    <w:rsid w:val="00BB5198"/>
    <w:rsid w:val="00BB5240"/>
    <w:rsid w:val="00BB6029"/>
    <w:rsid w:val="00BB6994"/>
    <w:rsid w:val="00BB6E67"/>
    <w:rsid w:val="00BB7FA6"/>
    <w:rsid w:val="00BC19D0"/>
    <w:rsid w:val="00BC3C6E"/>
    <w:rsid w:val="00BC3FD5"/>
    <w:rsid w:val="00BC43F3"/>
    <w:rsid w:val="00BC49B6"/>
    <w:rsid w:val="00BC6458"/>
    <w:rsid w:val="00BC6989"/>
    <w:rsid w:val="00BC7525"/>
    <w:rsid w:val="00BD04AD"/>
    <w:rsid w:val="00BD05D5"/>
    <w:rsid w:val="00BD0E47"/>
    <w:rsid w:val="00BD21A5"/>
    <w:rsid w:val="00BD25B6"/>
    <w:rsid w:val="00BD3349"/>
    <w:rsid w:val="00BD4208"/>
    <w:rsid w:val="00BD4C2F"/>
    <w:rsid w:val="00BD4D9C"/>
    <w:rsid w:val="00BD527D"/>
    <w:rsid w:val="00BD64E2"/>
    <w:rsid w:val="00BD6CC3"/>
    <w:rsid w:val="00BD7902"/>
    <w:rsid w:val="00BE31E1"/>
    <w:rsid w:val="00BE3A92"/>
    <w:rsid w:val="00BE3FD1"/>
    <w:rsid w:val="00BE46F4"/>
    <w:rsid w:val="00BE498E"/>
    <w:rsid w:val="00BE4AED"/>
    <w:rsid w:val="00BE4EE4"/>
    <w:rsid w:val="00BE52AC"/>
    <w:rsid w:val="00BE5E39"/>
    <w:rsid w:val="00BE612E"/>
    <w:rsid w:val="00BE6425"/>
    <w:rsid w:val="00BE71C1"/>
    <w:rsid w:val="00BE7477"/>
    <w:rsid w:val="00BE767D"/>
    <w:rsid w:val="00BF1735"/>
    <w:rsid w:val="00BF182E"/>
    <w:rsid w:val="00BF2060"/>
    <w:rsid w:val="00BF3D88"/>
    <w:rsid w:val="00BF5173"/>
    <w:rsid w:val="00BF546E"/>
    <w:rsid w:val="00BF567C"/>
    <w:rsid w:val="00BF56DB"/>
    <w:rsid w:val="00BF5B78"/>
    <w:rsid w:val="00BF7C8A"/>
    <w:rsid w:val="00C00211"/>
    <w:rsid w:val="00C01266"/>
    <w:rsid w:val="00C01503"/>
    <w:rsid w:val="00C0299D"/>
    <w:rsid w:val="00C035CE"/>
    <w:rsid w:val="00C03635"/>
    <w:rsid w:val="00C069DC"/>
    <w:rsid w:val="00C06D39"/>
    <w:rsid w:val="00C11389"/>
    <w:rsid w:val="00C11754"/>
    <w:rsid w:val="00C11A2B"/>
    <w:rsid w:val="00C11B97"/>
    <w:rsid w:val="00C12AAC"/>
    <w:rsid w:val="00C1307E"/>
    <w:rsid w:val="00C13294"/>
    <w:rsid w:val="00C1386F"/>
    <w:rsid w:val="00C14074"/>
    <w:rsid w:val="00C14458"/>
    <w:rsid w:val="00C153E2"/>
    <w:rsid w:val="00C15FE9"/>
    <w:rsid w:val="00C17AD5"/>
    <w:rsid w:val="00C20745"/>
    <w:rsid w:val="00C20BB1"/>
    <w:rsid w:val="00C215BD"/>
    <w:rsid w:val="00C22646"/>
    <w:rsid w:val="00C22C74"/>
    <w:rsid w:val="00C23658"/>
    <w:rsid w:val="00C25063"/>
    <w:rsid w:val="00C25549"/>
    <w:rsid w:val="00C263C5"/>
    <w:rsid w:val="00C267B9"/>
    <w:rsid w:val="00C26D1C"/>
    <w:rsid w:val="00C3001C"/>
    <w:rsid w:val="00C30841"/>
    <w:rsid w:val="00C30CE7"/>
    <w:rsid w:val="00C30F61"/>
    <w:rsid w:val="00C32160"/>
    <w:rsid w:val="00C322B6"/>
    <w:rsid w:val="00C32537"/>
    <w:rsid w:val="00C32A65"/>
    <w:rsid w:val="00C33301"/>
    <w:rsid w:val="00C3378F"/>
    <w:rsid w:val="00C33E16"/>
    <w:rsid w:val="00C3463D"/>
    <w:rsid w:val="00C3479D"/>
    <w:rsid w:val="00C347C2"/>
    <w:rsid w:val="00C34817"/>
    <w:rsid w:val="00C34F65"/>
    <w:rsid w:val="00C3530B"/>
    <w:rsid w:val="00C36062"/>
    <w:rsid w:val="00C36C19"/>
    <w:rsid w:val="00C37735"/>
    <w:rsid w:val="00C37CB7"/>
    <w:rsid w:val="00C37D08"/>
    <w:rsid w:val="00C40339"/>
    <w:rsid w:val="00C41815"/>
    <w:rsid w:val="00C42C0F"/>
    <w:rsid w:val="00C446D6"/>
    <w:rsid w:val="00C44852"/>
    <w:rsid w:val="00C44E79"/>
    <w:rsid w:val="00C44FE4"/>
    <w:rsid w:val="00C4511B"/>
    <w:rsid w:val="00C45923"/>
    <w:rsid w:val="00C45C7C"/>
    <w:rsid w:val="00C46BE9"/>
    <w:rsid w:val="00C47838"/>
    <w:rsid w:val="00C47C1C"/>
    <w:rsid w:val="00C512BC"/>
    <w:rsid w:val="00C5219F"/>
    <w:rsid w:val="00C526CA"/>
    <w:rsid w:val="00C527DD"/>
    <w:rsid w:val="00C52C08"/>
    <w:rsid w:val="00C52F59"/>
    <w:rsid w:val="00C53B12"/>
    <w:rsid w:val="00C54DDA"/>
    <w:rsid w:val="00C56C2D"/>
    <w:rsid w:val="00C57B71"/>
    <w:rsid w:val="00C613A7"/>
    <w:rsid w:val="00C614A2"/>
    <w:rsid w:val="00C61D4B"/>
    <w:rsid w:val="00C622E9"/>
    <w:rsid w:val="00C64170"/>
    <w:rsid w:val="00C65E7D"/>
    <w:rsid w:val="00C669EB"/>
    <w:rsid w:val="00C66E5C"/>
    <w:rsid w:val="00C672E6"/>
    <w:rsid w:val="00C673D1"/>
    <w:rsid w:val="00C677A3"/>
    <w:rsid w:val="00C67D01"/>
    <w:rsid w:val="00C7008E"/>
    <w:rsid w:val="00C707D4"/>
    <w:rsid w:val="00C70C69"/>
    <w:rsid w:val="00C713DA"/>
    <w:rsid w:val="00C7174A"/>
    <w:rsid w:val="00C7175C"/>
    <w:rsid w:val="00C73263"/>
    <w:rsid w:val="00C742B6"/>
    <w:rsid w:val="00C747F0"/>
    <w:rsid w:val="00C74BDB"/>
    <w:rsid w:val="00C750AE"/>
    <w:rsid w:val="00C76171"/>
    <w:rsid w:val="00C77C09"/>
    <w:rsid w:val="00C803D6"/>
    <w:rsid w:val="00C80F76"/>
    <w:rsid w:val="00C84DD8"/>
    <w:rsid w:val="00C87EF0"/>
    <w:rsid w:val="00C90304"/>
    <w:rsid w:val="00C9046E"/>
    <w:rsid w:val="00C90B20"/>
    <w:rsid w:val="00C90E25"/>
    <w:rsid w:val="00C913CB"/>
    <w:rsid w:val="00C9179B"/>
    <w:rsid w:val="00C91A36"/>
    <w:rsid w:val="00C92E7F"/>
    <w:rsid w:val="00C938D2"/>
    <w:rsid w:val="00C93AFC"/>
    <w:rsid w:val="00C93ED9"/>
    <w:rsid w:val="00C94DE4"/>
    <w:rsid w:val="00C95509"/>
    <w:rsid w:val="00C965C7"/>
    <w:rsid w:val="00C96C6B"/>
    <w:rsid w:val="00C9700F"/>
    <w:rsid w:val="00CA02E9"/>
    <w:rsid w:val="00CA0DA6"/>
    <w:rsid w:val="00CA1EBC"/>
    <w:rsid w:val="00CA2843"/>
    <w:rsid w:val="00CA4C0C"/>
    <w:rsid w:val="00CA4C55"/>
    <w:rsid w:val="00CA538E"/>
    <w:rsid w:val="00CA5DD8"/>
    <w:rsid w:val="00CA7AC0"/>
    <w:rsid w:val="00CA7F97"/>
    <w:rsid w:val="00CB025B"/>
    <w:rsid w:val="00CB03B0"/>
    <w:rsid w:val="00CB06D0"/>
    <w:rsid w:val="00CB094E"/>
    <w:rsid w:val="00CB0D00"/>
    <w:rsid w:val="00CB237A"/>
    <w:rsid w:val="00CB2EE6"/>
    <w:rsid w:val="00CB3EE6"/>
    <w:rsid w:val="00CB47D6"/>
    <w:rsid w:val="00CB54A2"/>
    <w:rsid w:val="00CB559B"/>
    <w:rsid w:val="00CB57E9"/>
    <w:rsid w:val="00CB585C"/>
    <w:rsid w:val="00CB740D"/>
    <w:rsid w:val="00CC0EF6"/>
    <w:rsid w:val="00CC11C1"/>
    <w:rsid w:val="00CC1E94"/>
    <w:rsid w:val="00CC3FB3"/>
    <w:rsid w:val="00CC4822"/>
    <w:rsid w:val="00CC4F45"/>
    <w:rsid w:val="00CC5892"/>
    <w:rsid w:val="00CC6246"/>
    <w:rsid w:val="00CD0016"/>
    <w:rsid w:val="00CD17EC"/>
    <w:rsid w:val="00CD187D"/>
    <w:rsid w:val="00CD2E67"/>
    <w:rsid w:val="00CD306D"/>
    <w:rsid w:val="00CD3096"/>
    <w:rsid w:val="00CD3AC0"/>
    <w:rsid w:val="00CD445D"/>
    <w:rsid w:val="00CD4AE3"/>
    <w:rsid w:val="00CD4C50"/>
    <w:rsid w:val="00CD5C34"/>
    <w:rsid w:val="00CD757B"/>
    <w:rsid w:val="00CD7631"/>
    <w:rsid w:val="00CD7AAA"/>
    <w:rsid w:val="00CD7DFB"/>
    <w:rsid w:val="00CE02D5"/>
    <w:rsid w:val="00CE1837"/>
    <w:rsid w:val="00CE201C"/>
    <w:rsid w:val="00CE23B6"/>
    <w:rsid w:val="00CE2F4E"/>
    <w:rsid w:val="00CE3194"/>
    <w:rsid w:val="00CE31EA"/>
    <w:rsid w:val="00CE4326"/>
    <w:rsid w:val="00CE5C16"/>
    <w:rsid w:val="00CE658B"/>
    <w:rsid w:val="00CE6D86"/>
    <w:rsid w:val="00CE7C85"/>
    <w:rsid w:val="00CE7FED"/>
    <w:rsid w:val="00CF0751"/>
    <w:rsid w:val="00CF1EFE"/>
    <w:rsid w:val="00CF2762"/>
    <w:rsid w:val="00CF2E9C"/>
    <w:rsid w:val="00CF4215"/>
    <w:rsid w:val="00CF45AE"/>
    <w:rsid w:val="00CF57B9"/>
    <w:rsid w:val="00CF631C"/>
    <w:rsid w:val="00CF66AE"/>
    <w:rsid w:val="00CF6789"/>
    <w:rsid w:val="00CF6FB5"/>
    <w:rsid w:val="00D014EA"/>
    <w:rsid w:val="00D02859"/>
    <w:rsid w:val="00D02FF6"/>
    <w:rsid w:val="00D03952"/>
    <w:rsid w:val="00D04B6E"/>
    <w:rsid w:val="00D0502F"/>
    <w:rsid w:val="00D06444"/>
    <w:rsid w:val="00D06BE3"/>
    <w:rsid w:val="00D070B7"/>
    <w:rsid w:val="00D1026C"/>
    <w:rsid w:val="00D10701"/>
    <w:rsid w:val="00D10B81"/>
    <w:rsid w:val="00D10FC9"/>
    <w:rsid w:val="00D11558"/>
    <w:rsid w:val="00D1158B"/>
    <w:rsid w:val="00D1180B"/>
    <w:rsid w:val="00D11818"/>
    <w:rsid w:val="00D11E13"/>
    <w:rsid w:val="00D1264E"/>
    <w:rsid w:val="00D12A4F"/>
    <w:rsid w:val="00D12C1B"/>
    <w:rsid w:val="00D1313B"/>
    <w:rsid w:val="00D13CA9"/>
    <w:rsid w:val="00D140AA"/>
    <w:rsid w:val="00D146EF"/>
    <w:rsid w:val="00D14BFF"/>
    <w:rsid w:val="00D14F0B"/>
    <w:rsid w:val="00D168E8"/>
    <w:rsid w:val="00D2014B"/>
    <w:rsid w:val="00D204EB"/>
    <w:rsid w:val="00D21BF7"/>
    <w:rsid w:val="00D22433"/>
    <w:rsid w:val="00D23306"/>
    <w:rsid w:val="00D23456"/>
    <w:rsid w:val="00D25484"/>
    <w:rsid w:val="00D25A23"/>
    <w:rsid w:val="00D27087"/>
    <w:rsid w:val="00D304B4"/>
    <w:rsid w:val="00D305D0"/>
    <w:rsid w:val="00D31B9C"/>
    <w:rsid w:val="00D31D97"/>
    <w:rsid w:val="00D32089"/>
    <w:rsid w:val="00D32282"/>
    <w:rsid w:val="00D32831"/>
    <w:rsid w:val="00D32996"/>
    <w:rsid w:val="00D331AF"/>
    <w:rsid w:val="00D33438"/>
    <w:rsid w:val="00D341AD"/>
    <w:rsid w:val="00D36147"/>
    <w:rsid w:val="00D36AAB"/>
    <w:rsid w:val="00D36D11"/>
    <w:rsid w:val="00D40400"/>
    <w:rsid w:val="00D40BFD"/>
    <w:rsid w:val="00D40FD2"/>
    <w:rsid w:val="00D41324"/>
    <w:rsid w:val="00D440BC"/>
    <w:rsid w:val="00D4535E"/>
    <w:rsid w:val="00D45636"/>
    <w:rsid w:val="00D462E4"/>
    <w:rsid w:val="00D4659C"/>
    <w:rsid w:val="00D467E5"/>
    <w:rsid w:val="00D479C1"/>
    <w:rsid w:val="00D501FC"/>
    <w:rsid w:val="00D507E9"/>
    <w:rsid w:val="00D50C49"/>
    <w:rsid w:val="00D51467"/>
    <w:rsid w:val="00D51F68"/>
    <w:rsid w:val="00D5348D"/>
    <w:rsid w:val="00D54B43"/>
    <w:rsid w:val="00D55C40"/>
    <w:rsid w:val="00D55C80"/>
    <w:rsid w:val="00D55E70"/>
    <w:rsid w:val="00D55FCB"/>
    <w:rsid w:val="00D5622F"/>
    <w:rsid w:val="00D56A4C"/>
    <w:rsid w:val="00D56D48"/>
    <w:rsid w:val="00D6095F"/>
    <w:rsid w:val="00D6347E"/>
    <w:rsid w:val="00D643CF"/>
    <w:rsid w:val="00D64549"/>
    <w:rsid w:val="00D64584"/>
    <w:rsid w:val="00D64C6F"/>
    <w:rsid w:val="00D67304"/>
    <w:rsid w:val="00D674EC"/>
    <w:rsid w:val="00D7111F"/>
    <w:rsid w:val="00D711A9"/>
    <w:rsid w:val="00D71278"/>
    <w:rsid w:val="00D72088"/>
    <w:rsid w:val="00D725A4"/>
    <w:rsid w:val="00D72677"/>
    <w:rsid w:val="00D7344F"/>
    <w:rsid w:val="00D73B0D"/>
    <w:rsid w:val="00D745E4"/>
    <w:rsid w:val="00D74EFE"/>
    <w:rsid w:val="00D75B54"/>
    <w:rsid w:val="00D75EF2"/>
    <w:rsid w:val="00D7610C"/>
    <w:rsid w:val="00D7674B"/>
    <w:rsid w:val="00D767ED"/>
    <w:rsid w:val="00D76884"/>
    <w:rsid w:val="00D779C1"/>
    <w:rsid w:val="00D77C1B"/>
    <w:rsid w:val="00D80604"/>
    <w:rsid w:val="00D809D1"/>
    <w:rsid w:val="00D81615"/>
    <w:rsid w:val="00D82568"/>
    <w:rsid w:val="00D8259D"/>
    <w:rsid w:val="00D82D89"/>
    <w:rsid w:val="00D82DD9"/>
    <w:rsid w:val="00D83362"/>
    <w:rsid w:val="00D8345E"/>
    <w:rsid w:val="00D83623"/>
    <w:rsid w:val="00D83BFE"/>
    <w:rsid w:val="00D83FEF"/>
    <w:rsid w:val="00D85217"/>
    <w:rsid w:val="00D852F8"/>
    <w:rsid w:val="00D85688"/>
    <w:rsid w:val="00D8574B"/>
    <w:rsid w:val="00D8661A"/>
    <w:rsid w:val="00D86CBD"/>
    <w:rsid w:val="00D87A7A"/>
    <w:rsid w:val="00D908AB"/>
    <w:rsid w:val="00D92B04"/>
    <w:rsid w:val="00D92FA8"/>
    <w:rsid w:val="00D930ED"/>
    <w:rsid w:val="00D93455"/>
    <w:rsid w:val="00D94167"/>
    <w:rsid w:val="00D944DE"/>
    <w:rsid w:val="00D9457E"/>
    <w:rsid w:val="00D95441"/>
    <w:rsid w:val="00D957D7"/>
    <w:rsid w:val="00D9702C"/>
    <w:rsid w:val="00D974D1"/>
    <w:rsid w:val="00D97A4C"/>
    <w:rsid w:val="00D97E83"/>
    <w:rsid w:val="00DA033C"/>
    <w:rsid w:val="00DA2155"/>
    <w:rsid w:val="00DA238C"/>
    <w:rsid w:val="00DA2AF7"/>
    <w:rsid w:val="00DA3F53"/>
    <w:rsid w:val="00DA462C"/>
    <w:rsid w:val="00DA491C"/>
    <w:rsid w:val="00DA500F"/>
    <w:rsid w:val="00DA52C6"/>
    <w:rsid w:val="00DA52F9"/>
    <w:rsid w:val="00DA6B34"/>
    <w:rsid w:val="00DA6EFF"/>
    <w:rsid w:val="00DA7276"/>
    <w:rsid w:val="00DA7616"/>
    <w:rsid w:val="00DB0408"/>
    <w:rsid w:val="00DB1627"/>
    <w:rsid w:val="00DB19DD"/>
    <w:rsid w:val="00DB1C2A"/>
    <w:rsid w:val="00DB3270"/>
    <w:rsid w:val="00DB3784"/>
    <w:rsid w:val="00DB4AC4"/>
    <w:rsid w:val="00DB5382"/>
    <w:rsid w:val="00DB5B64"/>
    <w:rsid w:val="00DB5BE8"/>
    <w:rsid w:val="00DB602A"/>
    <w:rsid w:val="00DB6447"/>
    <w:rsid w:val="00DB7360"/>
    <w:rsid w:val="00DB7C4E"/>
    <w:rsid w:val="00DB7EFF"/>
    <w:rsid w:val="00DB7F72"/>
    <w:rsid w:val="00DC00EE"/>
    <w:rsid w:val="00DC12F2"/>
    <w:rsid w:val="00DC2228"/>
    <w:rsid w:val="00DC2EE6"/>
    <w:rsid w:val="00DC324F"/>
    <w:rsid w:val="00DC3930"/>
    <w:rsid w:val="00DC4664"/>
    <w:rsid w:val="00DC5168"/>
    <w:rsid w:val="00DC59DC"/>
    <w:rsid w:val="00DC59E1"/>
    <w:rsid w:val="00DC71A8"/>
    <w:rsid w:val="00DC7557"/>
    <w:rsid w:val="00DC7E4B"/>
    <w:rsid w:val="00DC848A"/>
    <w:rsid w:val="00DD04AA"/>
    <w:rsid w:val="00DD0B5B"/>
    <w:rsid w:val="00DD12E4"/>
    <w:rsid w:val="00DD1307"/>
    <w:rsid w:val="00DD2045"/>
    <w:rsid w:val="00DD2187"/>
    <w:rsid w:val="00DD2508"/>
    <w:rsid w:val="00DD3807"/>
    <w:rsid w:val="00DD4B74"/>
    <w:rsid w:val="00DD4EF6"/>
    <w:rsid w:val="00DD4F85"/>
    <w:rsid w:val="00DD5846"/>
    <w:rsid w:val="00DD758F"/>
    <w:rsid w:val="00DD75E0"/>
    <w:rsid w:val="00DE00D0"/>
    <w:rsid w:val="00DE0D95"/>
    <w:rsid w:val="00DE10B0"/>
    <w:rsid w:val="00DE1B7F"/>
    <w:rsid w:val="00DE1E39"/>
    <w:rsid w:val="00DE266B"/>
    <w:rsid w:val="00DE3DF8"/>
    <w:rsid w:val="00DE42E9"/>
    <w:rsid w:val="00DE49F5"/>
    <w:rsid w:val="00DE4C6D"/>
    <w:rsid w:val="00DE5846"/>
    <w:rsid w:val="00DE73E6"/>
    <w:rsid w:val="00DE7B32"/>
    <w:rsid w:val="00DE7D36"/>
    <w:rsid w:val="00DE7FD2"/>
    <w:rsid w:val="00DF05EE"/>
    <w:rsid w:val="00DF0B40"/>
    <w:rsid w:val="00DF10D9"/>
    <w:rsid w:val="00DF1664"/>
    <w:rsid w:val="00DF1CD2"/>
    <w:rsid w:val="00DF2E41"/>
    <w:rsid w:val="00DF39EE"/>
    <w:rsid w:val="00DF3B28"/>
    <w:rsid w:val="00DF3D75"/>
    <w:rsid w:val="00DF4A45"/>
    <w:rsid w:val="00DF50D3"/>
    <w:rsid w:val="00DF5DF0"/>
    <w:rsid w:val="00DF6536"/>
    <w:rsid w:val="00DF6573"/>
    <w:rsid w:val="00DF6DE7"/>
    <w:rsid w:val="00DF7567"/>
    <w:rsid w:val="00DF7DC9"/>
    <w:rsid w:val="00E033AD"/>
    <w:rsid w:val="00E036D5"/>
    <w:rsid w:val="00E03A8D"/>
    <w:rsid w:val="00E03B35"/>
    <w:rsid w:val="00E04822"/>
    <w:rsid w:val="00E0533B"/>
    <w:rsid w:val="00E057E3"/>
    <w:rsid w:val="00E0600E"/>
    <w:rsid w:val="00E109DF"/>
    <w:rsid w:val="00E10D8C"/>
    <w:rsid w:val="00E10DB9"/>
    <w:rsid w:val="00E11B81"/>
    <w:rsid w:val="00E11E24"/>
    <w:rsid w:val="00E1231D"/>
    <w:rsid w:val="00E123E4"/>
    <w:rsid w:val="00E129BE"/>
    <w:rsid w:val="00E12D16"/>
    <w:rsid w:val="00E147C9"/>
    <w:rsid w:val="00E14940"/>
    <w:rsid w:val="00E14EFE"/>
    <w:rsid w:val="00E14F17"/>
    <w:rsid w:val="00E17565"/>
    <w:rsid w:val="00E176B4"/>
    <w:rsid w:val="00E17DA0"/>
    <w:rsid w:val="00E20905"/>
    <w:rsid w:val="00E20C82"/>
    <w:rsid w:val="00E218A4"/>
    <w:rsid w:val="00E230BB"/>
    <w:rsid w:val="00E23A6F"/>
    <w:rsid w:val="00E24524"/>
    <w:rsid w:val="00E25960"/>
    <w:rsid w:val="00E25E00"/>
    <w:rsid w:val="00E26660"/>
    <w:rsid w:val="00E2763C"/>
    <w:rsid w:val="00E278E4"/>
    <w:rsid w:val="00E3046A"/>
    <w:rsid w:val="00E3092C"/>
    <w:rsid w:val="00E309D7"/>
    <w:rsid w:val="00E3235F"/>
    <w:rsid w:val="00E3296D"/>
    <w:rsid w:val="00E32B75"/>
    <w:rsid w:val="00E33239"/>
    <w:rsid w:val="00E33B25"/>
    <w:rsid w:val="00E3586E"/>
    <w:rsid w:val="00E35BDC"/>
    <w:rsid w:val="00E3696F"/>
    <w:rsid w:val="00E37ACE"/>
    <w:rsid w:val="00E40100"/>
    <w:rsid w:val="00E40316"/>
    <w:rsid w:val="00E40A2B"/>
    <w:rsid w:val="00E40FCA"/>
    <w:rsid w:val="00E4100E"/>
    <w:rsid w:val="00E412FE"/>
    <w:rsid w:val="00E417FF"/>
    <w:rsid w:val="00E43C84"/>
    <w:rsid w:val="00E44D3E"/>
    <w:rsid w:val="00E4573E"/>
    <w:rsid w:val="00E4666D"/>
    <w:rsid w:val="00E467D7"/>
    <w:rsid w:val="00E46ABA"/>
    <w:rsid w:val="00E46D6B"/>
    <w:rsid w:val="00E475F9"/>
    <w:rsid w:val="00E47673"/>
    <w:rsid w:val="00E477AB"/>
    <w:rsid w:val="00E50A08"/>
    <w:rsid w:val="00E5204D"/>
    <w:rsid w:val="00E520FC"/>
    <w:rsid w:val="00E55D7E"/>
    <w:rsid w:val="00E56F10"/>
    <w:rsid w:val="00E571D8"/>
    <w:rsid w:val="00E57AD0"/>
    <w:rsid w:val="00E60DAB"/>
    <w:rsid w:val="00E62217"/>
    <w:rsid w:val="00E63CEC"/>
    <w:rsid w:val="00E64425"/>
    <w:rsid w:val="00E658EA"/>
    <w:rsid w:val="00E659FD"/>
    <w:rsid w:val="00E65D4C"/>
    <w:rsid w:val="00E66152"/>
    <w:rsid w:val="00E661C5"/>
    <w:rsid w:val="00E6736C"/>
    <w:rsid w:val="00E70DF4"/>
    <w:rsid w:val="00E717E1"/>
    <w:rsid w:val="00E724C4"/>
    <w:rsid w:val="00E7309B"/>
    <w:rsid w:val="00E73793"/>
    <w:rsid w:val="00E73848"/>
    <w:rsid w:val="00E73EC9"/>
    <w:rsid w:val="00E743E7"/>
    <w:rsid w:val="00E744F3"/>
    <w:rsid w:val="00E74823"/>
    <w:rsid w:val="00E755C9"/>
    <w:rsid w:val="00E755CE"/>
    <w:rsid w:val="00E75852"/>
    <w:rsid w:val="00E75A45"/>
    <w:rsid w:val="00E75BEB"/>
    <w:rsid w:val="00E75FBE"/>
    <w:rsid w:val="00E7657A"/>
    <w:rsid w:val="00E767EF"/>
    <w:rsid w:val="00E76992"/>
    <w:rsid w:val="00E76B94"/>
    <w:rsid w:val="00E77267"/>
    <w:rsid w:val="00E8061D"/>
    <w:rsid w:val="00E81857"/>
    <w:rsid w:val="00E82544"/>
    <w:rsid w:val="00E85190"/>
    <w:rsid w:val="00E851F4"/>
    <w:rsid w:val="00E85661"/>
    <w:rsid w:val="00E864F2"/>
    <w:rsid w:val="00E879B5"/>
    <w:rsid w:val="00E87AC3"/>
    <w:rsid w:val="00E90F63"/>
    <w:rsid w:val="00E9134A"/>
    <w:rsid w:val="00E91849"/>
    <w:rsid w:val="00E91EE4"/>
    <w:rsid w:val="00E92071"/>
    <w:rsid w:val="00E922A6"/>
    <w:rsid w:val="00E923DD"/>
    <w:rsid w:val="00E92A52"/>
    <w:rsid w:val="00E936ED"/>
    <w:rsid w:val="00E945C2"/>
    <w:rsid w:val="00E94756"/>
    <w:rsid w:val="00E94778"/>
    <w:rsid w:val="00E94E0D"/>
    <w:rsid w:val="00E95156"/>
    <w:rsid w:val="00E962D3"/>
    <w:rsid w:val="00E9646D"/>
    <w:rsid w:val="00E96B10"/>
    <w:rsid w:val="00E971EC"/>
    <w:rsid w:val="00EA013E"/>
    <w:rsid w:val="00EA0A23"/>
    <w:rsid w:val="00EA0D88"/>
    <w:rsid w:val="00EA17C0"/>
    <w:rsid w:val="00EA24CB"/>
    <w:rsid w:val="00EA26A3"/>
    <w:rsid w:val="00EA2797"/>
    <w:rsid w:val="00EA2EE7"/>
    <w:rsid w:val="00EA4454"/>
    <w:rsid w:val="00EA666A"/>
    <w:rsid w:val="00EA6DA1"/>
    <w:rsid w:val="00EB1B73"/>
    <w:rsid w:val="00EB22B3"/>
    <w:rsid w:val="00EB25EA"/>
    <w:rsid w:val="00EB2DE6"/>
    <w:rsid w:val="00EB4330"/>
    <w:rsid w:val="00EB45D2"/>
    <w:rsid w:val="00EB4894"/>
    <w:rsid w:val="00EB55CA"/>
    <w:rsid w:val="00EB7476"/>
    <w:rsid w:val="00EC06B1"/>
    <w:rsid w:val="00EC1DC5"/>
    <w:rsid w:val="00EC2285"/>
    <w:rsid w:val="00EC2636"/>
    <w:rsid w:val="00EC27BB"/>
    <w:rsid w:val="00EC2846"/>
    <w:rsid w:val="00EC2DD1"/>
    <w:rsid w:val="00EC39DB"/>
    <w:rsid w:val="00EC489E"/>
    <w:rsid w:val="00EC4E7A"/>
    <w:rsid w:val="00EC52A2"/>
    <w:rsid w:val="00EC6DC8"/>
    <w:rsid w:val="00EC6FE4"/>
    <w:rsid w:val="00ED0178"/>
    <w:rsid w:val="00ED0CD4"/>
    <w:rsid w:val="00ED0FE3"/>
    <w:rsid w:val="00ED134A"/>
    <w:rsid w:val="00ED1943"/>
    <w:rsid w:val="00ED2078"/>
    <w:rsid w:val="00ED2F2F"/>
    <w:rsid w:val="00ED2F71"/>
    <w:rsid w:val="00ED32A1"/>
    <w:rsid w:val="00ED399D"/>
    <w:rsid w:val="00ED3A7E"/>
    <w:rsid w:val="00ED47FA"/>
    <w:rsid w:val="00ED4E22"/>
    <w:rsid w:val="00ED4ED5"/>
    <w:rsid w:val="00ED618C"/>
    <w:rsid w:val="00ED6CC2"/>
    <w:rsid w:val="00ED7673"/>
    <w:rsid w:val="00ED791D"/>
    <w:rsid w:val="00ED7A2E"/>
    <w:rsid w:val="00ED7AB8"/>
    <w:rsid w:val="00ED7CB8"/>
    <w:rsid w:val="00ED7E45"/>
    <w:rsid w:val="00ED7EB0"/>
    <w:rsid w:val="00EE0774"/>
    <w:rsid w:val="00EE0F93"/>
    <w:rsid w:val="00EE2C2F"/>
    <w:rsid w:val="00EE5944"/>
    <w:rsid w:val="00EE6543"/>
    <w:rsid w:val="00EE7037"/>
    <w:rsid w:val="00EE74FB"/>
    <w:rsid w:val="00EE7A3A"/>
    <w:rsid w:val="00EF03FA"/>
    <w:rsid w:val="00EF2C3A"/>
    <w:rsid w:val="00EF3818"/>
    <w:rsid w:val="00EF3B95"/>
    <w:rsid w:val="00EF3DFC"/>
    <w:rsid w:val="00EF41B7"/>
    <w:rsid w:val="00EF45E1"/>
    <w:rsid w:val="00EF4989"/>
    <w:rsid w:val="00EF51D5"/>
    <w:rsid w:val="00EF7296"/>
    <w:rsid w:val="00F004D8"/>
    <w:rsid w:val="00F01BE4"/>
    <w:rsid w:val="00F024D6"/>
    <w:rsid w:val="00F02772"/>
    <w:rsid w:val="00F03E44"/>
    <w:rsid w:val="00F04134"/>
    <w:rsid w:val="00F06F31"/>
    <w:rsid w:val="00F10474"/>
    <w:rsid w:val="00F10829"/>
    <w:rsid w:val="00F10934"/>
    <w:rsid w:val="00F114B4"/>
    <w:rsid w:val="00F11E62"/>
    <w:rsid w:val="00F124A0"/>
    <w:rsid w:val="00F12770"/>
    <w:rsid w:val="00F1355B"/>
    <w:rsid w:val="00F1444D"/>
    <w:rsid w:val="00F14E1E"/>
    <w:rsid w:val="00F151AE"/>
    <w:rsid w:val="00F16667"/>
    <w:rsid w:val="00F1737F"/>
    <w:rsid w:val="00F1798A"/>
    <w:rsid w:val="00F21166"/>
    <w:rsid w:val="00F233B0"/>
    <w:rsid w:val="00F236D6"/>
    <w:rsid w:val="00F2430C"/>
    <w:rsid w:val="00F2463C"/>
    <w:rsid w:val="00F248C1"/>
    <w:rsid w:val="00F26E9F"/>
    <w:rsid w:val="00F27712"/>
    <w:rsid w:val="00F27D7D"/>
    <w:rsid w:val="00F30166"/>
    <w:rsid w:val="00F313E7"/>
    <w:rsid w:val="00F31BBF"/>
    <w:rsid w:val="00F32563"/>
    <w:rsid w:val="00F32F00"/>
    <w:rsid w:val="00F33368"/>
    <w:rsid w:val="00F33375"/>
    <w:rsid w:val="00F33533"/>
    <w:rsid w:val="00F33F40"/>
    <w:rsid w:val="00F34282"/>
    <w:rsid w:val="00F347F5"/>
    <w:rsid w:val="00F36D1D"/>
    <w:rsid w:val="00F36E68"/>
    <w:rsid w:val="00F36FB5"/>
    <w:rsid w:val="00F379CD"/>
    <w:rsid w:val="00F41B84"/>
    <w:rsid w:val="00F456E7"/>
    <w:rsid w:val="00F45844"/>
    <w:rsid w:val="00F458CC"/>
    <w:rsid w:val="00F47A7B"/>
    <w:rsid w:val="00F5074C"/>
    <w:rsid w:val="00F50CA0"/>
    <w:rsid w:val="00F52CBB"/>
    <w:rsid w:val="00F5315A"/>
    <w:rsid w:val="00F537FE"/>
    <w:rsid w:val="00F53A6F"/>
    <w:rsid w:val="00F53BE3"/>
    <w:rsid w:val="00F543EF"/>
    <w:rsid w:val="00F546BE"/>
    <w:rsid w:val="00F54FC6"/>
    <w:rsid w:val="00F5606F"/>
    <w:rsid w:val="00F573CF"/>
    <w:rsid w:val="00F57B21"/>
    <w:rsid w:val="00F60909"/>
    <w:rsid w:val="00F61283"/>
    <w:rsid w:val="00F61357"/>
    <w:rsid w:val="00F6227D"/>
    <w:rsid w:val="00F622BE"/>
    <w:rsid w:val="00F625F5"/>
    <w:rsid w:val="00F627F9"/>
    <w:rsid w:val="00F632CA"/>
    <w:rsid w:val="00F65553"/>
    <w:rsid w:val="00F6669B"/>
    <w:rsid w:val="00F66896"/>
    <w:rsid w:val="00F66FBC"/>
    <w:rsid w:val="00F67947"/>
    <w:rsid w:val="00F67F8B"/>
    <w:rsid w:val="00F70D7A"/>
    <w:rsid w:val="00F727D9"/>
    <w:rsid w:val="00F72BA3"/>
    <w:rsid w:val="00F73268"/>
    <w:rsid w:val="00F735AD"/>
    <w:rsid w:val="00F73C41"/>
    <w:rsid w:val="00F74121"/>
    <w:rsid w:val="00F75A72"/>
    <w:rsid w:val="00F77126"/>
    <w:rsid w:val="00F77736"/>
    <w:rsid w:val="00F80269"/>
    <w:rsid w:val="00F80750"/>
    <w:rsid w:val="00F811CB"/>
    <w:rsid w:val="00F81673"/>
    <w:rsid w:val="00F81DF8"/>
    <w:rsid w:val="00F81E0F"/>
    <w:rsid w:val="00F8275A"/>
    <w:rsid w:val="00F82801"/>
    <w:rsid w:val="00F828A8"/>
    <w:rsid w:val="00F83F21"/>
    <w:rsid w:val="00F8475A"/>
    <w:rsid w:val="00F84940"/>
    <w:rsid w:val="00F85B0B"/>
    <w:rsid w:val="00F8675F"/>
    <w:rsid w:val="00F8685C"/>
    <w:rsid w:val="00F87ED9"/>
    <w:rsid w:val="00F9017E"/>
    <w:rsid w:val="00F9042E"/>
    <w:rsid w:val="00F90F73"/>
    <w:rsid w:val="00F91517"/>
    <w:rsid w:val="00F91D55"/>
    <w:rsid w:val="00F91D6A"/>
    <w:rsid w:val="00F92275"/>
    <w:rsid w:val="00F929F4"/>
    <w:rsid w:val="00F935F0"/>
    <w:rsid w:val="00F945D0"/>
    <w:rsid w:val="00FA02AC"/>
    <w:rsid w:val="00FA0E2C"/>
    <w:rsid w:val="00FA13EF"/>
    <w:rsid w:val="00FA16EE"/>
    <w:rsid w:val="00FA26CA"/>
    <w:rsid w:val="00FA270C"/>
    <w:rsid w:val="00FA2A79"/>
    <w:rsid w:val="00FA345F"/>
    <w:rsid w:val="00FA36F0"/>
    <w:rsid w:val="00FA50D3"/>
    <w:rsid w:val="00FA51AB"/>
    <w:rsid w:val="00FA58AB"/>
    <w:rsid w:val="00FA58E9"/>
    <w:rsid w:val="00FA6B21"/>
    <w:rsid w:val="00FA6D44"/>
    <w:rsid w:val="00FA7091"/>
    <w:rsid w:val="00FA777B"/>
    <w:rsid w:val="00FB092F"/>
    <w:rsid w:val="00FB1474"/>
    <w:rsid w:val="00FB180A"/>
    <w:rsid w:val="00FB4F0F"/>
    <w:rsid w:val="00FB6C40"/>
    <w:rsid w:val="00FB7542"/>
    <w:rsid w:val="00FB7834"/>
    <w:rsid w:val="00FC018F"/>
    <w:rsid w:val="00FC0BF3"/>
    <w:rsid w:val="00FC0EF2"/>
    <w:rsid w:val="00FC1D1F"/>
    <w:rsid w:val="00FC25A9"/>
    <w:rsid w:val="00FC290C"/>
    <w:rsid w:val="00FC7038"/>
    <w:rsid w:val="00FC75D3"/>
    <w:rsid w:val="00FD023F"/>
    <w:rsid w:val="00FD02AE"/>
    <w:rsid w:val="00FD03D6"/>
    <w:rsid w:val="00FD07FD"/>
    <w:rsid w:val="00FD0A25"/>
    <w:rsid w:val="00FD1739"/>
    <w:rsid w:val="00FD2B7C"/>
    <w:rsid w:val="00FD3F8E"/>
    <w:rsid w:val="00FD4544"/>
    <w:rsid w:val="00FD5890"/>
    <w:rsid w:val="00FD6763"/>
    <w:rsid w:val="00FD6843"/>
    <w:rsid w:val="00FD6E5D"/>
    <w:rsid w:val="00FD74D0"/>
    <w:rsid w:val="00FD7B99"/>
    <w:rsid w:val="00FD7C5A"/>
    <w:rsid w:val="00FE099F"/>
    <w:rsid w:val="00FE1A40"/>
    <w:rsid w:val="00FE1E98"/>
    <w:rsid w:val="00FE300B"/>
    <w:rsid w:val="00FE3D2F"/>
    <w:rsid w:val="00FE3D38"/>
    <w:rsid w:val="00FE4EDE"/>
    <w:rsid w:val="00FE5C94"/>
    <w:rsid w:val="00FE5DE1"/>
    <w:rsid w:val="00FE5F11"/>
    <w:rsid w:val="00FE6415"/>
    <w:rsid w:val="00FE6CA4"/>
    <w:rsid w:val="00FF049F"/>
    <w:rsid w:val="00FF10AC"/>
    <w:rsid w:val="00FF173E"/>
    <w:rsid w:val="00FF1F42"/>
    <w:rsid w:val="00FF39E7"/>
    <w:rsid w:val="00FF3D05"/>
    <w:rsid w:val="013EB76D"/>
    <w:rsid w:val="02E4B245"/>
    <w:rsid w:val="03E9DB2A"/>
    <w:rsid w:val="045127F7"/>
    <w:rsid w:val="059B557C"/>
    <w:rsid w:val="05A3373F"/>
    <w:rsid w:val="05CD158D"/>
    <w:rsid w:val="05D204BA"/>
    <w:rsid w:val="0699E032"/>
    <w:rsid w:val="06D9602D"/>
    <w:rsid w:val="07057B6E"/>
    <w:rsid w:val="0791E2D1"/>
    <w:rsid w:val="07D6DE20"/>
    <w:rsid w:val="0829CE43"/>
    <w:rsid w:val="094FA06D"/>
    <w:rsid w:val="099B7784"/>
    <w:rsid w:val="09FB3D69"/>
    <w:rsid w:val="0A0F74D0"/>
    <w:rsid w:val="0A11DB12"/>
    <w:rsid w:val="0B086F28"/>
    <w:rsid w:val="0B1A5934"/>
    <w:rsid w:val="0B338C29"/>
    <w:rsid w:val="0BA8A77F"/>
    <w:rsid w:val="0BBA0B15"/>
    <w:rsid w:val="0C6D22C0"/>
    <w:rsid w:val="0DC5DA4E"/>
    <w:rsid w:val="0DF2805F"/>
    <w:rsid w:val="0EA7F1A3"/>
    <w:rsid w:val="0EC0273D"/>
    <w:rsid w:val="0FCA3F37"/>
    <w:rsid w:val="105E438B"/>
    <w:rsid w:val="10EC439F"/>
    <w:rsid w:val="11535CAC"/>
    <w:rsid w:val="120A7F24"/>
    <w:rsid w:val="1281612B"/>
    <w:rsid w:val="128ECE35"/>
    <w:rsid w:val="1313FB60"/>
    <w:rsid w:val="132E34F1"/>
    <w:rsid w:val="1380EF5C"/>
    <w:rsid w:val="13CB2DAB"/>
    <w:rsid w:val="13DCD14B"/>
    <w:rsid w:val="14E85D32"/>
    <w:rsid w:val="166B79B5"/>
    <w:rsid w:val="170CE702"/>
    <w:rsid w:val="174D4839"/>
    <w:rsid w:val="183ED932"/>
    <w:rsid w:val="191551E1"/>
    <w:rsid w:val="19399437"/>
    <w:rsid w:val="19769DC6"/>
    <w:rsid w:val="197A2D49"/>
    <w:rsid w:val="1A4F5E84"/>
    <w:rsid w:val="1B49D4A8"/>
    <w:rsid w:val="1B84C11E"/>
    <w:rsid w:val="1BD5596B"/>
    <w:rsid w:val="1D329276"/>
    <w:rsid w:val="1E23628B"/>
    <w:rsid w:val="1F7A69F4"/>
    <w:rsid w:val="1FC4CA7C"/>
    <w:rsid w:val="2022B16F"/>
    <w:rsid w:val="2041EC61"/>
    <w:rsid w:val="20903537"/>
    <w:rsid w:val="20B63FE2"/>
    <w:rsid w:val="21368EE4"/>
    <w:rsid w:val="21B85344"/>
    <w:rsid w:val="227A5918"/>
    <w:rsid w:val="22F71CA4"/>
    <w:rsid w:val="238FFE1E"/>
    <w:rsid w:val="241F5504"/>
    <w:rsid w:val="244AD34B"/>
    <w:rsid w:val="24867253"/>
    <w:rsid w:val="255D9FF4"/>
    <w:rsid w:val="25B1F9DA"/>
    <w:rsid w:val="25E48047"/>
    <w:rsid w:val="268BC467"/>
    <w:rsid w:val="272C08AB"/>
    <w:rsid w:val="275C7267"/>
    <w:rsid w:val="27C557B0"/>
    <w:rsid w:val="285A61AD"/>
    <w:rsid w:val="285D7AF4"/>
    <w:rsid w:val="2888FCDB"/>
    <w:rsid w:val="28BCA7B2"/>
    <w:rsid w:val="29CAFA03"/>
    <w:rsid w:val="2A258CBF"/>
    <w:rsid w:val="2A346EFB"/>
    <w:rsid w:val="2AFA919A"/>
    <w:rsid w:val="2B4E54D1"/>
    <w:rsid w:val="2C31E29A"/>
    <w:rsid w:val="2CE126BB"/>
    <w:rsid w:val="2D02ED8D"/>
    <w:rsid w:val="2D5B2F7B"/>
    <w:rsid w:val="2DEB4CDE"/>
    <w:rsid w:val="2DFCE800"/>
    <w:rsid w:val="2DFDE5DC"/>
    <w:rsid w:val="2EFE7C75"/>
    <w:rsid w:val="2F933285"/>
    <w:rsid w:val="2F9D1BCA"/>
    <w:rsid w:val="3032A6AD"/>
    <w:rsid w:val="30A8BFDB"/>
    <w:rsid w:val="319DCD61"/>
    <w:rsid w:val="32CFF6CE"/>
    <w:rsid w:val="3314D249"/>
    <w:rsid w:val="33228BDA"/>
    <w:rsid w:val="336A476F"/>
    <w:rsid w:val="34065331"/>
    <w:rsid w:val="342290F8"/>
    <w:rsid w:val="344946B7"/>
    <w:rsid w:val="3499AFDB"/>
    <w:rsid w:val="34BDEDA8"/>
    <w:rsid w:val="354600D3"/>
    <w:rsid w:val="355FAF97"/>
    <w:rsid w:val="35DC619F"/>
    <w:rsid w:val="373E1CF5"/>
    <w:rsid w:val="37742345"/>
    <w:rsid w:val="377C82C7"/>
    <w:rsid w:val="37CD84EC"/>
    <w:rsid w:val="37E3C8AF"/>
    <w:rsid w:val="38DE5666"/>
    <w:rsid w:val="3A0A566E"/>
    <w:rsid w:val="3B2F737C"/>
    <w:rsid w:val="3C4FF3EA"/>
    <w:rsid w:val="3C58D20E"/>
    <w:rsid w:val="3D2D11E9"/>
    <w:rsid w:val="3E104B00"/>
    <w:rsid w:val="3E38FABC"/>
    <w:rsid w:val="3EAEF753"/>
    <w:rsid w:val="3EAFCEA3"/>
    <w:rsid w:val="3F6E6C4F"/>
    <w:rsid w:val="3FE68DD0"/>
    <w:rsid w:val="40DC7FC5"/>
    <w:rsid w:val="40E7AB68"/>
    <w:rsid w:val="40F12475"/>
    <w:rsid w:val="4139E272"/>
    <w:rsid w:val="41707F5C"/>
    <w:rsid w:val="4217F14E"/>
    <w:rsid w:val="42BBEA05"/>
    <w:rsid w:val="43744279"/>
    <w:rsid w:val="43B4BDCE"/>
    <w:rsid w:val="43BB2138"/>
    <w:rsid w:val="43E39D32"/>
    <w:rsid w:val="4442B6E2"/>
    <w:rsid w:val="445B05CF"/>
    <w:rsid w:val="44E802C4"/>
    <w:rsid w:val="4602C386"/>
    <w:rsid w:val="472B48B4"/>
    <w:rsid w:val="473364A0"/>
    <w:rsid w:val="4792A691"/>
    <w:rsid w:val="47ACB9D8"/>
    <w:rsid w:val="48A32F09"/>
    <w:rsid w:val="48B12FAD"/>
    <w:rsid w:val="494E79D0"/>
    <w:rsid w:val="49CE1E04"/>
    <w:rsid w:val="4A737A38"/>
    <w:rsid w:val="4B12D4AF"/>
    <w:rsid w:val="4B7A21F1"/>
    <w:rsid w:val="4B869EAF"/>
    <w:rsid w:val="4C0E1D69"/>
    <w:rsid w:val="4C9A83FD"/>
    <w:rsid w:val="4D176832"/>
    <w:rsid w:val="4D4104CA"/>
    <w:rsid w:val="4D4C41E4"/>
    <w:rsid w:val="4E1FAE2F"/>
    <w:rsid w:val="4E589815"/>
    <w:rsid w:val="4EDC82AB"/>
    <w:rsid w:val="4F8ECF1B"/>
    <w:rsid w:val="4F9A98B6"/>
    <w:rsid w:val="4FCD9DCF"/>
    <w:rsid w:val="5062FD8C"/>
    <w:rsid w:val="5120607A"/>
    <w:rsid w:val="517795F8"/>
    <w:rsid w:val="518806A3"/>
    <w:rsid w:val="52233B9E"/>
    <w:rsid w:val="5235336C"/>
    <w:rsid w:val="52A6A7C9"/>
    <w:rsid w:val="539D654B"/>
    <w:rsid w:val="552932E7"/>
    <w:rsid w:val="559817E7"/>
    <w:rsid w:val="56731776"/>
    <w:rsid w:val="57BE3847"/>
    <w:rsid w:val="584A56AF"/>
    <w:rsid w:val="590CEE28"/>
    <w:rsid w:val="59335FE5"/>
    <w:rsid w:val="59D3FE8B"/>
    <w:rsid w:val="59E505DB"/>
    <w:rsid w:val="5A13BA91"/>
    <w:rsid w:val="5A3EB275"/>
    <w:rsid w:val="5A911FA0"/>
    <w:rsid w:val="5A99A8A7"/>
    <w:rsid w:val="5AAF26A4"/>
    <w:rsid w:val="5B14BDB2"/>
    <w:rsid w:val="5B7F4C0E"/>
    <w:rsid w:val="5BB0C203"/>
    <w:rsid w:val="5BBB05B3"/>
    <w:rsid w:val="5BC9EA11"/>
    <w:rsid w:val="5BDDBBB0"/>
    <w:rsid w:val="5BDDCDE6"/>
    <w:rsid w:val="5BF291CE"/>
    <w:rsid w:val="5C5DA3D1"/>
    <w:rsid w:val="5C8FB8F2"/>
    <w:rsid w:val="5CA4EF76"/>
    <w:rsid w:val="5E9AA22F"/>
    <w:rsid w:val="5EAE3448"/>
    <w:rsid w:val="5EEF4ED4"/>
    <w:rsid w:val="5F2CC23C"/>
    <w:rsid w:val="5F658832"/>
    <w:rsid w:val="5FB507CA"/>
    <w:rsid w:val="608DF001"/>
    <w:rsid w:val="61808288"/>
    <w:rsid w:val="61EE8D92"/>
    <w:rsid w:val="61FE375F"/>
    <w:rsid w:val="62527C40"/>
    <w:rsid w:val="626E9D0F"/>
    <w:rsid w:val="62AA2535"/>
    <w:rsid w:val="62DF0788"/>
    <w:rsid w:val="63C36438"/>
    <w:rsid w:val="642DD716"/>
    <w:rsid w:val="64702243"/>
    <w:rsid w:val="64987BE0"/>
    <w:rsid w:val="64BDB5A3"/>
    <w:rsid w:val="64D24687"/>
    <w:rsid w:val="64FD248E"/>
    <w:rsid w:val="65B28C71"/>
    <w:rsid w:val="65D1C082"/>
    <w:rsid w:val="66691789"/>
    <w:rsid w:val="676737EF"/>
    <w:rsid w:val="696558D5"/>
    <w:rsid w:val="69DADDDF"/>
    <w:rsid w:val="6B5B0480"/>
    <w:rsid w:val="6BB4D577"/>
    <w:rsid w:val="6C23143E"/>
    <w:rsid w:val="6C2851DB"/>
    <w:rsid w:val="6C8321AE"/>
    <w:rsid w:val="6E5A5556"/>
    <w:rsid w:val="6E784D52"/>
    <w:rsid w:val="6EA7666C"/>
    <w:rsid w:val="6EE17103"/>
    <w:rsid w:val="6F2C2CFB"/>
    <w:rsid w:val="6FBF08C8"/>
    <w:rsid w:val="6FDF1250"/>
    <w:rsid w:val="70139BCC"/>
    <w:rsid w:val="70288CCB"/>
    <w:rsid w:val="71412F73"/>
    <w:rsid w:val="720D90C0"/>
    <w:rsid w:val="72222EF1"/>
    <w:rsid w:val="723A42DA"/>
    <w:rsid w:val="725EAEED"/>
    <w:rsid w:val="72E59F94"/>
    <w:rsid w:val="72F26332"/>
    <w:rsid w:val="731BA212"/>
    <w:rsid w:val="735594F9"/>
    <w:rsid w:val="735ADFB8"/>
    <w:rsid w:val="73A86F43"/>
    <w:rsid w:val="74549FB4"/>
    <w:rsid w:val="74BB12B1"/>
    <w:rsid w:val="75D2D363"/>
    <w:rsid w:val="75DA2623"/>
    <w:rsid w:val="75EE7011"/>
    <w:rsid w:val="76C2B5DA"/>
    <w:rsid w:val="7702A14D"/>
    <w:rsid w:val="7718DEBD"/>
    <w:rsid w:val="7731BFD5"/>
    <w:rsid w:val="79705186"/>
    <w:rsid w:val="7A107276"/>
    <w:rsid w:val="7A463F54"/>
    <w:rsid w:val="7B499B3F"/>
    <w:rsid w:val="7B8F2D28"/>
    <w:rsid w:val="7BEB1C79"/>
    <w:rsid w:val="7BF93955"/>
    <w:rsid w:val="7C03DBE7"/>
    <w:rsid w:val="7CFC4235"/>
    <w:rsid w:val="7D38C17F"/>
    <w:rsid w:val="7D8F0665"/>
    <w:rsid w:val="7DBE5106"/>
    <w:rsid w:val="7E5D20BF"/>
    <w:rsid w:val="7E77CD96"/>
    <w:rsid w:val="7E965223"/>
    <w:rsid w:val="7EBC1C4D"/>
    <w:rsid w:val="7EBC88C1"/>
    <w:rsid w:val="7EBC90D1"/>
    <w:rsid w:val="7EFDE8B5"/>
    <w:rsid w:val="7F83211E"/>
    <w:rsid w:val="7FD8A59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631C"/>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5D2709"/>
    <w:pPr>
      <w:tabs>
        <w:tab w:val="left" w:pos="480"/>
        <w:tab w:val="right" w:leader="dot" w:pos="9004"/>
      </w:tabs>
      <w:spacing w:before="120"/>
    </w:pPr>
    <w:rPr>
      <w:b/>
      <w:bCs/>
      <w:noProof/>
    </w:rPr>
  </w:style>
  <w:style w:type="paragraph" w:styleId="Verzeichnis2">
    <w:name w:val="toc 2"/>
    <w:basedOn w:val="Standard"/>
    <w:next w:val="Standard"/>
    <w:autoRedefine/>
    <w:uiPriority w:val="39"/>
    <w:rsid w:val="00B5697D"/>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uiPriority w:val="99"/>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8"/>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332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874997472">
      <w:bodyDiv w:val="1"/>
      <w:marLeft w:val="0"/>
      <w:marRight w:val="0"/>
      <w:marTop w:val="0"/>
      <w:marBottom w:val="0"/>
      <w:divBdr>
        <w:top w:val="none" w:sz="0" w:space="0" w:color="auto"/>
        <w:left w:val="none" w:sz="0" w:space="0" w:color="auto"/>
        <w:bottom w:val="none" w:sz="0" w:space="0" w:color="auto"/>
        <w:right w:val="none" w:sz="0" w:space="0" w:color="auto"/>
      </w:divBdr>
    </w:div>
    <w:div w:id="1033920987">
      <w:bodyDiv w:val="1"/>
      <w:marLeft w:val="0"/>
      <w:marRight w:val="0"/>
      <w:marTop w:val="0"/>
      <w:marBottom w:val="0"/>
      <w:divBdr>
        <w:top w:val="none" w:sz="0" w:space="0" w:color="auto"/>
        <w:left w:val="none" w:sz="0" w:space="0" w:color="auto"/>
        <w:bottom w:val="none" w:sz="0" w:space="0" w:color="auto"/>
        <w:right w:val="none" w:sz="0" w:space="0" w:color="auto"/>
      </w:divBdr>
    </w:div>
    <w:div w:id="130268673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 w:id="1912350177">
      <w:bodyDiv w:val="1"/>
      <w:marLeft w:val="0"/>
      <w:marRight w:val="0"/>
      <w:marTop w:val="0"/>
      <w:marBottom w:val="0"/>
      <w:divBdr>
        <w:top w:val="none" w:sz="0" w:space="0" w:color="auto"/>
        <w:left w:val="none" w:sz="0" w:space="0" w:color="auto"/>
        <w:bottom w:val="none" w:sz="0" w:space="0" w:color="auto"/>
        <w:right w:val="none" w:sz="0" w:space="0" w:color="auto"/>
      </w:divBdr>
      <w:divsChild>
        <w:div w:id="1567372088">
          <w:marLeft w:val="0"/>
          <w:marRight w:val="0"/>
          <w:marTop w:val="220"/>
          <w:marBottom w:val="0"/>
          <w:divBdr>
            <w:top w:val="none" w:sz="0" w:space="0" w:color="auto"/>
            <w:left w:val="none" w:sz="0" w:space="0" w:color="auto"/>
            <w:bottom w:val="none" w:sz="0" w:space="0" w:color="auto"/>
            <w:right w:val="none" w:sz="0" w:space="0" w:color="auto"/>
          </w:divBdr>
          <w:divsChild>
            <w:div w:id="389500913">
              <w:marLeft w:val="0"/>
              <w:marRight w:val="0"/>
              <w:marTop w:val="120"/>
              <w:marBottom w:val="0"/>
              <w:divBdr>
                <w:top w:val="none" w:sz="0" w:space="0" w:color="auto"/>
                <w:left w:val="none" w:sz="0" w:space="0" w:color="auto"/>
                <w:bottom w:val="none" w:sz="0" w:space="0" w:color="auto"/>
                <w:right w:val="none" w:sz="0" w:space="0" w:color="auto"/>
              </w:divBdr>
            </w:div>
            <w:div w:id="1285388251">
              <w:marLeft w:val="0"/>
              <w:marRight w:val="0"/>
              <w:marTop w:val="80"/>
              <w:marBottom w:val="0"/>
              <w:divBdr>
                <w:top w:val="none" w:sz="0" w:space="0" w:color="auto"/>
                <w:left w:val="none" w:sz="0" w:space="0" w:color="auto"/>
                <w:bottom w:val="none" w:sz="0" w:space="0" w:color="auto"/>
                <w:right w:val="none" w:sz="0" w:space="0" w:color="auto"/>
              </w:divBdr>
            </w:div>
            <w:div w:id="1730379277">
              <w:marLeft w:val="0"/>
              <w:marRight w:val="0"/>
              <w:marTop w:val="80"/>
              <w:marBottom w:val="0"/>
              <w:divBdr>
                <w:top w:val="none" w:sz="0" w:space="0" w:color="auto"/>
                <w:left w:val="none" w:sz="0" w:space="0" w:color="auto"/>
                <w:bottom w:val="none" w:sz="0" w:space="0" w:color="auto"/>
                <w:right w:val="none" w:sz="0" w:space="0" w:color="auto"/>
              </w:divBdr>
              <w:divsChild>
                <w:div w:id="1090271863">
                  <w:marLeft w:val="284"/>
                  <w:marRight w:val="0"/>
                  <w:marTop w:val="60"/>
                  <w:marBottom w:val="0"/>
                  <w:divBdr>
                    <w:top w:val="none" w:sz="0" w:space="0" w:color="auto"/>
                    <w:left w:val="none" w:sz="0" w:space="0" w:color="auto"/>
                    <w:bottom w:val="none" w:sz="0" w:space="0" w:color="auto"/>
                    <w:right w:val="none" w:sz="0" w:space="0" w:color="auto"/>
                  </w:divBdr>
                </w:div>
                <w:div w:id="2133664469">
                  <w:marLeft w:val="284"/>
                  <w:marRight w:val="0"/>
                  <w:marTop w:val="60"/>
                  <w:marBottom w:val="0"/>
                  <w:divBdr>
                    <w:top w:val="none" w:sz="0" w:space="0" w:color="auto"/>
                    <w:left w:val="none" w:sz="0" w:space="0" w:color="auto"/>
                    <w:bottom w:val="none" w:sz="0" w:space="0" w:color="auto"/>
                    <w:right w:val="none" w:sz="0" w:space="0" w:color="auto"/>
                  </w:divBdr>
                </w:div>
              </w:divsChild>
            </w:div>
            <w:div w:id="1885830899">
              <w:marLeft w:val="0"/>
              <w:marRight w:val="0"/>
              <w:marTop w:val="80"/>
              <w:marBottom w:val="0"/>
              <w:divBdr>
                <w:top w:val="none" w:sz="0" w:space="0" w:color="auto"/>
                <w:left w:val="none" w:sz="0" w:space="0" w:color="auto"/>
                <w:bottom w:val="none" w:sz="0" w:space="0" w:color="auto"/>
                <w:right w:val="none" w:sz="0" w:space="0" w:color="auto"/>
              </w:divBdr>
            </w:div>
          </w:divsChild>
        </w:div>
        <w:div w:id="184374100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B028946F5F1242AE5196ADBF81C242" ma:contentTypeVersion="3" ma:contentTypeDescription="Ein neues Dokument erstellen." ma:contentTypeScope="" ma:versionID="62bc2d407fe235f45ff038f385ab52fe">
  <xsd:schema xmlns:xsd="http://www.w3.org/2001/XMLSchema" xmlns:xs="http://www.w3.org/2001/XMLSchema" xmlns:p="http://schemas.microsoft.com/office/2006/metadata/properties" xmlns:ns2="2a14abaf-4fa0-4b89-83f4-749b866dd9d6" targetNamespace="http://schemas.microsoft.com/office/2006/metadata/properties" ma:root="true" ma:fieldsID="d0cf747cc860d0d27bb32c29c2c39545" ns2:_="">
    <xsd:import namespace="2a14abaf-4fa0-4b89-83f4-749b866dd9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4abaf-4fa0-4b89-83f4-749b866d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3518-396A-4DB2-AD7D-E64471C09D3A}">
  <ds:schemaRefs>
    <ds:schemaRef ds:uri="http://schemas.microsoft.com/sharepoint/v3/contenttype/forms"/>
  </ds:schemaRefs>
</ds:datastoreItem>
</file>

<file path=customXml/itemProps2.xml><?xml version="1.0" encoding="utf-8"?>
<ds:datastoreItem xmlns:ds="http://schemas.openxmlformats.org/officeDocument/2006/customXml" ds:itemID="{3F875528-0692-4389-98C0-51646BD959E3}">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2a14abaf-4fa0-4b89-83f4-749b866dd9d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5B11A4-AE48-4E83-832B-258321DC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4abaf-4fa0-4b89-83f4-749b866d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BE384-7ACD-4E88-A2B5-12B747E9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5002</Words>
  <Characters>40473</Characters>
  <Application>Microsoft Office Word</Application>
  <DocSecurity>0</DocSecurity>
  <Lines>337</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45385</CharactersWithSpaces>
  <SharedDoc>false</SharedDoc>
  <HLinks>
    <vt:vector size="168" baseType="variant">
      <vt:variant>
        <vt:i4>1769531</vt:i4>
      </vt:variant>
      <vt:variant>
        <vt:i4>164</vt:i4>
      </vt:variant>
      <vt:variant>
        <vt:i4>0</vt:i4>
      </vt:variant>
      <vt:variant>
        <vt:i4>5</vt:i4>
      </vt:variant>
      <vt:variant>
        <vt:lpwstr/>
      </vt:variant>
      <vt:variant>
        <vt:lpwstr>_Toc141788370</vt:lpwstr>
      </vt:variant>
      <vt:variant>
        <vt:i4>1703995</vt:i4>
      </vt:variant>
      <vt:variant>
        <vt:i4>158</vt:i4>
      </vt:variant>
      <vt:variant>
        <vt:i4>0</vt:i4>
      </vt:variant>
      <vt:variant>
        <vt:i4>5</vt:i4>
      </vt:variant>
      <vt:variant>
        <vt:lpwstr/>
      </vt:variant>
      <vt:variant>
        <vt:lpwstr>_Toc141788369</vt:lpwstr>
      </vt:variant>
      <vt:variant>
        <vt:i4>1703995</vt:i4>
      </vt:variant>
      <vt:variant>
        <vt:i4>152</vt:i4>
      </vt:variant>
      <vt:variant>
        <vt:i4>0</vt:i4>
      </vt:variant>
      <vt:variant>
        <vt:i4>5</vt:i4>
      </vt:variant>
      <vt:variant>
        <vt:lpwstr/>
      </vt:variant>
      <vt:variant>
        <vt:lpwstr>_Toc141788368</vt:lpwstr>
      </vt:variant>
      <vt:variant>
        <vt:i4>1703995</vt:i4>
      </vt:variant>
      <vt:variant>
        <vt:i4>146</vt:i4>
      </vt:variant>
      <vt:variant>
        <vt:i4>0</vt:i4>
      </vt:variant>
      <vt:variant>
        <vt:i4>5</vt:i4>
      </vt:variant>
      <vt:variant>
        <vt:lpwstr/>
      </vt:variant>
      <vt:variant>
        <vt:lpwstr>_Toc141788367</vt:lpwstr>
      </vt:variant>
      <vt:variant>
        <vt:i4>1703995</vt:i4>
      </vt:variant>
      <vt:variant>
        <vt:i4>140</vt:i4>
      </vt:variant>
      <vt:variant>
        <vt:i4>0</vt:i4>
      </vt:variant>
      <vt:variant>
        <vt:i4>5</vt:i4>
      </vt:variant>
      <vt:variant>
        <vt:lpwstr/>
      </vt:variant>
      <vt:variant>
        <vt:lpwstr>_Toc141788366</vt:lpwstr>
      </vt:variant>
      <vt:variant>
        <vt:i4>1703995</vt:i4>
      </vt:variant>
      <vt:variant>
        <vt:i4>134</vt:i4>
      </vt:variant>
      <vt:variant>
        <vt:i4>0</vt:i4>
      </vt:variant>
      <vt:variant>
        <vt:i4>5</vt:i4>
      </vt:variant>
      <vt:variant>
        <vt:lpwstr/>
      </vt:variant>
      <vt:variant>
        <vt:lpwstr>_Toc141788365</vt:lpwstr>
      </vt:variant>
      <vt:variant>
        <vt:i4>1703995</vt:i4>
      </vt:variant>
      <vt:variant>
        <vt:i4>128</vt:i4>
      </vt:variant>
      <vt:variant>
        <vt:i4>0</vt:i4>
      </vt:variant>
      <vt:variant>
        <vt:i4>5</vt:i4>
      </vt:variant>
      <vt:variant>
        <vt:lpwstr/>
      </vt:variant>
      <vt:variant>
        <vt:lpwstr>_Toc141788364</vt:lpwstr>
      </vt:variant>
      <vt:variant>
        <vt:i4>1703995</vt:i4>
      </vt:variant>
      <vt:variant>
        <vt:i4>122</vt:i4>
      </vt:variant>
      <vt:variant>
        <vt:i4>0</vt:i4>
      </vt:variant>
      <vt:variant>
        <vt:i4>5</vt:i4>
      </vt:variant>
      <vt:variant>
        <vt:lpwstr/>
      </vt:variant>
      <vt:variant>
        <vt:lpwstr>_Toc141788363</vt:lpwstr>
      </vt:variant>
      <vt:variant>
        <vt:i4>1703995</vt:i4>
      </vt:variant>
      <vt:variant>
        <vt:i4>116</vt:i4>
      </vt:variant>
      <vt:variant>
        <vt:i4>0</vt:i4>
      </vt:variant>
      <vt:variant>
        <vt:i4>5</vt:i4>
      </vt:variant>
      <vt:variant>
        <vt:lpwstr/>
      </vt:variant>
      <vt:variant>
        <vt:lpwstr>_Toc141788362</vt:lpwstr>
      </vt:variant>
      <vt:variant>
        <vt:i4>1703995</vt:i4>
      </vt:variant>
      <vt:variant>
        <vt:i4>110</vt:i4>
      </vt:variant>
      <vt:variant>
        <vt:i4>0</vt:i4>
      </vt:variant>
      <vt:variant>
        <vt:i4>5</vt:i4>
      </vt:variant>
      <vt:variant>
        <vt:lpwstr/>
      </vt:variant>
      <vt:variant>
        <vt:lpwstr>_Toc141788361</vt:lpwstr>
      </vt:variant>
      <vt:variant>
        <vt:i4>1703995</vt:i4>
      </vt:variant>
      <vt:variant>
        <vt:i4>104</vt:i4>
      </vt:variant>
      <vt:variant>
        <vt:i4>0</vt:i4>
      </vt:variant>
      <vt:variant>
        <vt:i4>5</vt:i4>
      </vt:variant>
      <vt:variant>
        <vt:lpwstr/>
      </vt:variant>
      <vt:variant>
        <vt:lpwstr>_Toc141788360</vt:lpwstr>
      </vt:variant>
      <vt:variant>
        <vt:i4>1638459</vt:i4>
      </vt:variant>
      <vt:variant>
        <vt:i4>98</vt:i4>
      </vt:variant>
      <vt:variant>
        <vt:i4>0</vt:i4>
      </vt:variant>
      <vt:variant>
        <vt:i4>5</vt:i4>
      </vt:variant>
      <vt:variant>
        <vt:lpwstr/>
      </vt:variant>
      <vt:variant>
        <vt:lpwstr>_Toc141788359</vt:lpwstr>
      </vt:variant>
      <vt:variant>
        <vt:i4>1638459</vt:i4>
      </vt:variant>
      <vt:variant>
        <vt:i4>92</vt:i4>
      </vt:variant>
      <vt:variant>
        <vt:i4>0</vt:i4>
      </vt:variant>
      <vt:variant>
        <vt:i4>5</vt:i4>
      </vt:variant>
      <vt:variant>
        <vt:lpwstr/>
      </vt:variant>
      <vt:variant>
        <vt:lpwstr>_Toc141788358</vt:lpwstr>
      </vt:variant>
      <vt:variant>
        <vt:i4>1638459</vt:i4>
      </vt:variant>
      <vt:variant>
        <vt:i4>86</vt:i4>
      </vt:variant>
      <vt:variant>
        <vt:i4>0</vt:i4>
      </vt:variant>
      <vt:variant>
        <vt:i4>5</vt:i4>
      </vt:variant>
      <vt:variant>
        <vt:lpwstr/>
      </vt:variant>
      <vt:variant>
        <vt:lpwstr>_Toc141788357</vt:lpwstr>
      </vt:variant>
      <vt:variant>
        <vt:i4>1638459</vt:i4>
      </vt:variant>
      <vt:variant>
        <vt:i4>80</vt:i4>
      </vt:variant>
      <vt:variant>
        <vt:i4>0</vt:i4>
      </vt:variant>
      <vt:variant>
        <vt:i4>5</vt:i4>
      </vt:variant>
      <vt:variant>
        <vt:lpwstr/>
      </vt:variant>
      <vt:variant>
        <vt:lpwstr>_Toc141788356</vt:lpwstr>
      </vt:variant>
      <vt:variant>
        <vt:i4>1638459</vt:i4>
      </vt:variant>
      <vt:variant>
        <vt:i4>74</vt:i4>
      </vt:variant>
      <vt:variant>
        <vt:i4>0</vt:i4>
      </vt:variant>
      <vt:variant>
        <vt:i4>5</vt:i4>
      </vt:variant>
      <vt:variant>
        <vt:lpwstr/>
      </vt:variant>
      <vt:variant>
        <vt:lpwstr>_Toc141788355</vt:lpwstr>
      </vt:variant>
      <vt:variant>
        <vt:i4>1638459</vt:i4>
      </vt:variant>
      <vt:variant>
        <vt:i4>68</vt:i4>
      </vt:variant>
      <vt:variant>
        <vt:i4>0</vt:i4>
      </vt:variant>
      <vt:variant>
        <vt:i4>5</vt:i4>
      </vt:variant>
      <vt:variant>
        <vt:lpwstr/>
      </vt:variant>
      <vt:variant>
        <vt:lpwstr>_Toc141788354</vt:lpwstr>
      </vt:variant>
      <vt:variant>
        <vt:i4>1638459</vt:i4>
      </vt:variant>
      <vt:variant>
        <vt:i4>62</vt:i4>
      </vt:variant>
      <vt:variant>
        <vt:i4>0</vt:i4>
      </vt:variant>
      <vt:variant>
        <vt:i4>5</vt:i4>
      </vt:variant>
      <vt:variant>
        <vt:lpwstr/>
      </vt:variant>
      <vt:variant>
        <vt:lpwstr>_Toc141788353</vt:lpwstr>
      </vt:variant>
      <vt:variant>
        <vt:i4>1638459</vt:i4>
      </vt:variant>
      <vt:variant>
        <vt:i4>56</vt:i4>
      </vt:variant>
      <vt:variant>
        <vt:i4>0</vt:i4>
      </vt:variant>
      <vt:variant>
        <vt:i4>5</vt:i4>
      </vt:variant>
      <vt:variant>
        <vt:lpwstr/>
      </vt:variant>
      <vt:variant>
        <vt:lpwstr>_Toc141788352</vt:lpwstr>
      </vt:variant>
      <vt:variant>
        <vt:i4>1638459</vt:i4>
      </vt:variant>
      <vt:variant>
        <vt:i4>50</vt:i4>
      </vt:variant>
      <vt:variant>
        <vt:i4>0</vt:i4>
      </vt:variant>
      <vt:variant>
        <vt:i4>5</vt:i4>
      </vt:variant>
      <vt:variant>
        <vt:lpwstr/>
      </vt:variant>
      <vt:variant>
        <vt:lpwstr>_Toc141788351</vt:lpwstr>
      </vt:variant>
      <vt:variant>
        <vt:i4>1638459</vt:i4>
      </vt:variant>
      <vt:variant>
        <vt:i4>44</vt:i4>
      </vt:variant>
      <vt:variant>
        <vt:i4>0</vt:i4>
      </vt:variant>
      <vt:variant>
        <vt:i4>5</vt:i4>
      </vt:variant>
      <vt:variant>
        <vt:lpwstr/>
      </vt:variant>
      <vt:variant>
        <vt:lpwstr>_Toc141788350</vt:lpwstr>
      </vt:variant>
      <vt:variant>
        <vt:i4>1572923</vt:i4>
      </vt:variant>
      <vt:variant>
        <vt:i4>38</vt:i4>
      </vt:variant>
      <vt:variant>
        <vt:i4>0</vt:i4>
      </vt:variant>
      <vt:variant>
        <vt:i4>5</vt:i4>
      </vt:variant>
      <vt:variant>
        <vt:lpwstr/>
      </vt:variant>
      <vt:variant>
        <vt:lpwstr>_Toc141788349</vt:lpwstr>
      </vt:variant>
      <vt:variant>
        <vt:i4>1572923</vt:i4>
      </vt:variant>
      <vt:variant>
        <vt:i4>32</vt:i4>
      </vt:variant>
      <vt:variant>
        <vt:i4>0</vt:i4>
      </vt:variant>
      <vt:variant>
        <vt:i4>5</vt:i4>
      </vt:variant>
      <vt:variant>
        <vt:lpwstr/>
      </vt:variant>
      <vt:variant>
        <vt:lpwstr>_Toc141788348</vt:lpwstr>
      </vt:variant>
      <vt:variant>
        <vt:i4>1572923</vt:i4>
      </vt:variant>
      <vt:variant>
        <vt:i4>26</vt:i4>
      </vt:variant>
      <vt:variant>
        <vt:i4>0</vt:i4>
      </vt:variant>
      <vt:variant>
        <vt:i4>5</vt:i4>
      </vt:variant>
      <vt:variant>
        <vt:lpwstr/>
      </vt:variant>
      <vt:variant>
        <vt:lpwstr>_Toc141788347</vt:lpwstr>
      </vt:variant>
      <vt:variant>
        <vt:i4>1572923</vt:i4>
      </vt:variant>
      <vt:variant>
        <vt:i4>20</vt:i4>
      </vt:variant>
      <vt:variant>
        <vt:i4>0</vt:i4>
      </vt:variant>
      <vt:variant>
        <vt:i4>5</vt:i4>
      </vt:variant>
      <vt:variant>
        <vt:lpwstr/>
      </vt:variant>
      <vt:variant>
        <vt:lpwstr>_Toc141788346</vt:lpwstr>
      </vt:variant>
      <vt:variant>
        <vt:i4>1572923</vt:i4>
      </vt:variant>
      <vt:variant>
        <vt:i4>14</vt:i4>
      </vt:variant>
      <vt:variant>
        <vt:i4>0</vt:i4>
      </vt:variant>
      <vt:variant>
        <vt:i4>5</vt:i4>
      </vt:variant>
      <vt:variant>
        <vt:lpwstr/>
      </vt:variant>
      <vt:variant>
        <vt:lpwstr>_Toc141788345</vt:lpwstr>
      </vt:variant>
      <vt:variant>
        <vt:i4>1572923</vt:i4>
      </vt:variant>
      <vt:variant>
        <vt:i4>8</vt:i4>
      </vt:variant>
      <vt:variant>
        <vt:i4>0</vt:i4>
      </vt:variant>
      <vt:variant>
        <vt:i4>5</vt:i4>
      </vt:variant>
      <vt:variant>
        <vt:lpwstr/>
      </vt:variant>
      <vt:variant>
        <vt:lpwstr>_Toc141788344</vt:lpwstr>
      </vt:variant>
      <vt:variant>
        <vt:i4>1572923</vt:i4>
      </vt:variant>
      <vt:variant>
        <vt:i4>2</vt:i4>
      </vt:variant>
      <vt:variant>
        <vt:i4>0</vt:i4>
      </vt:variant>
      <vt:variant>
        <vt:i4>5</vt:i4>
      </vt:variant>
      <vt:variant>
        <vt:lpwstr/>
      </vt:variant>
      <vt:variant>
        <vt:lpwstr>_Toc141788343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2023-08-25T07:03:00Z</dcterms:created>
  <dcterms:modified xsi:type="dcterms:W3CDTF">2023-10-09T15:16:00Z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0x01010093B028946F5F1242AE5196ADBF81C242</vt:lpwstr>
  </property>
</Properties>
</file>